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404C4">
      <w:pPr>
        <w:pStyle w:val="156"/>
      </w:pPr>
      <w:r>
        <w:rPr>
          <w:sz w:val="16"/>
        </w:rPr>
        <w:t>STROBE Statement—checklist of items that should be included in reports of observational studies</w:t>
      </w:r>
    </w:p>
    <w:p>
      <w:pPr>
        <w:pStyle w:val="154"/>
      </w:pPr>
      <w:r>
        <w:rPr>
          <w:sz w:val="20"/>
        </w:rPr>
        <w:t>Page numbers refer to the final 15-page PDF of RCM52230 (published 26 August 2026).</w:t>
      </w:r>
    </w:p>
    <w:p w14:paraId="01B3C5CE">
      <w:pPr>
        <w:pStyle w:val="156"/>
      </w:pPr>
    </w:p>
    <w:tbl>
      <w:tblPr>
        <w:tblStyle w:val="75"/>
        <w:tblW w:w="14992"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1521"/>
        <w:gridCol w:w="749"/>
        <w:gridCol w:w="8328"/>
        <w:gridCol w:w="1276"/>
        <w:gridCol w:w="3118"/>
      </w:tblGrid>
      <w:tr w14:paraId="6F1C5A9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blHeader w:val="true"/>
        </w:trPr>
        <w:tc>
          <w:tcPr>
            <w:tcW w:w="1521" w:type="dxa"/>
            <w:vAlign w:val="center"/>
          </w:tcPr>
          <w:p w14:paraId="02DAF170">
            <w:pPr>
              <w:tabs>
                <w:tab w:val="left" w:pos="5400"/>
              </w:tabs>
              <w:spacing w:before="0" w:after="0" w:line="240" w:lineRule="auto"/>
              <w:rPr>
                <w:sz w:val="20"/>
              </w:rPr>
            </w:pPr>
            <w:bookmarkStart w:id="0" w:name="italic1" w:colFirst="0" w:colLast="0"/>
            <w:bookmarkStart w:id="1" w:name="italic3" w:colFirst="2" w:colLast="2"/>
            <w:bookmarkStart w:id="2" w:name="italic2" w:colFirst="1" w:colLast="1"/>
            <w:bookmarkStart w:id="3" w:name="bold4" w:colFirst="4" w:colLast="4"/>
            <w:bookmarkStart w:id="4" w:name="bold2" w:colFirst="2" w:colLast="2"/>
            <w:bookmarkStart w:id="5" w:name="bold1" w:colFirst="1" w:colLast="1"/>
            <w:bookmarkStart w:id="6" w:name="italic5" w:colFirst="4" w:colLast="4"/>
            <w:bookmarkStart w:id="7" w:name="italic4" w:colFirst="3" w:colLast="3"/>
            <w:bookmarkStart w:id="8" w:name="bold3" w:colFirst="3" w:colLast="3"/>
          </w:p>
        </w:tc>
        <w:tc>
          <w:tcPr>
            <w:tcW w:w="749" w:type="dxa"/>
            <w:vAlign w:val="center"/>
          </w:tcPr>
          <w:p w14:paraId="3EB84118">
            <w:pPr>
              <w:pStyle w:val="166"/>
              <w:tabs>
                <w:tab w:val="left" w:pos="5400"/>
              </w:tabs>
              <w:spacing w:before="0" w:after="0" w:line="240" w:lineRule="auto"/>
              <w:jc w:val="center"/>
              <w:rPr>
                <w:bCs/>
                <w:sz w:val="20"/>
              </w:rPr>
            </w:pPr>
            <w:r>
              <w:rPr>
                <w:bCs/>
                <w:sz w:val="20"/>
              </w:rPr>
              <w:t>Item No.</w:t>
            </w:r>
          </w:p>
        </w:tc>
        <w:tc>
          <w:tcPr>
            <w:tcW w:w="8328" w:type="dxa"/>
            <w:vAlign w:val="center"/>
          </w:tcPr>
          <w:p w14:paraId="1F649F12">
            <w:pPr>
              <w:pStyle w:val="166"/>
              <w:tabs>
                <w:tab w:val="left" w:pos="5400"/>
              </w:tabs>
              <w:spacing w:before="0" w:after="0" w:line="240" w:lineRule="auto"/>
              <w:jc w:val="center"/>
              <w:rPr>
                <w:bCs/>
                <w:sz w:val="20"/>
              </w:rPr>
            </w:pPr>
            <w:r>
              <w:rPr>
                <w:bCs/>
                <w:sz w:val="20"/>
              </w:rPr>
              <w:t>Recommendation</w:t>
            </w:r>
          </w:p>
        </w:tc>
        <w:tc>
          <w:tcPr>
            <w:tcW w:w="1276" w:type="dxa"/>
            <w:vAlign w:val="center"/>
          </w:tcPr>
          <w:p w14:paraId="5308131F">
            <w:pPr>
              <w:pStyle w:val="166"/>
              <w:tabs>
                <w:tab w:val="left" w:pos="5400"/>
              </w:tabs>
              <w:spacing w:before="0" w:after="0" w:line="240" w:lineRule="auto"/>
              <w:jc w:val="center"/>
              <w:rPr>
                <w:bCs/>
                <w:sz w:val="20"/>
              </w:rPr>
            </w:pPr>
            <w:r>
              <w:rPr>
                <w:bCs/>
                <w:sz w:val="20"/>
              </w:rPr>
              <w:t xml:space="preserve">Page </w:t>
            </w:r>
            <w:r>
              <w:rPr>
                <w:bCs/>
                <w:sz w:val="20"/>
              </w:rPr>
              <w:br w:type="textWrapping"/>
            </w:r>
            <w:r>
              <w:rPr>
                <w:bCs/>
                <w:sz w:val="20"/>
              </w:rPr>
              <w:t>No.</w:t>
            </w:r>
          </w:p>
        </w:tc>
        <w:tc>
          <w:tcPr>
            <w:tcW w:w="3118" w:type="dxa"/>
            <w:vAlign w:val="center"/>
          </w:tcPr>
          <w:p w14:paraId="29B5D2CF">
            <w:pPr>
              <w:pStyle w:val="166"/>
              <w:tabs>
                <w:tab w:val="left" w:pos="5400"/>
              </w:tabs>
              <w:spacing w:before="0" w:after="0" w:line="240" w:lineRule="auto"/>
              <w:jc w:val="center"/>
              <w:rPr>
                <w:bCs/>
                <w:sz w:val="20"/>
              </w:rPr>
            </w:pPr>
            <w:r>
              <w:rPr>
                <w:bCs/>
                <w:sz w:val="20"/>
              </w:rPr>
              <w:t>Relevant text from manuscript</w:t>
            </w:r>
          </w:p>
        </w:tc>
      </w:tr>
      <w:bookmarkEnd w:id="0"/>
      <w:bookmarkEnd w:id="1"/>
      <w:bookmarkEnd w:id="2"/>
      <w:bookmarkEnd w:id="3"/>
      <w:bookmarkEnd w:id="4"/>
      <w:bookmarkEnd w:id="5"/>
      <w:bookmarkEnd w:id="6"/>
      <w:bookmarkEnd w:id="7"/>
      <w:bookmarkEnd w:id="8"/>
      <w:tr w14:paraId="223003A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restart"/>
            <w:vAlign w:val="center"/>
          </w:tcPr>
          <w:p w14:paraId="5A27665D">
            <w:pPr>
              <w:tabs>
                <w:tab w:val="left" w:pos="5400"/>
              </w:tabs>
              <w:spacing w:before="0" w:after="0" w:line="240" w:lineRule="auto"/>
              <w:rPr>
                <w:b/>
                <w:bCs/>
                <w:sz w:val="20"/>
              </w:rPr>
            </w:pPr>
            <w:bookmarkStart w:id="9" w:name="bold5"/>
            <w:bookmarkStart w:id="10" w:name="italic6"/>
            <w:r>
              <w:rPr>
                <w:b/>
                <w:sz w:val="20"/>
              </w:rPr>
              <w:t>Title and abstract</w:t>
            </w:r>
            <w:bookmarkEnd w:id="9"/>
            <w:bookmarkEnd w:id="10"/>
          </w:p>
        </w:tc>
        <w:tc>
          <w:tcPr>
            <w:tcW w:w="749" w:type="dxa"/>
            <w:vMerge w:val="restart"/>
            <w:vAlign w:val="center"/>
          </w:tcPr>
          <w:p w14:paraId="32D3FC9C">
            <w:pPr>
              <w:tabs>
                <w:tab w:val="left" w:pos="5400"/>
              </w:tabs>
              <w:spacing w:before="0" w:after="0" w:line="240" w:lineRule="auto"/>
              <w:jc w:val="center"/>
              <w:rPr>
                <w:sz w:val="20"/>
              </w:rPr>
            </w:pPr>
            <w:r>
              <w:rPr>
                <w:sz w:val="20"/>
              </w:rPr>
              <w:t>1</w:t>
            </w:r>
          </w:p>
        </w:tc>
        <w:tc>
          <w:tcPr>
            <w:tcW w:w="8328" w:type="dxa"/>
            <w:vAlign w:val="center"/>
          </w:tcPr>
          <w:p w14:paraId="6944D08A">
            <w:pPr>
              <w:tabs>
                <w:tab w:val="left" w:pos="5400"/>
              </w:tabs>
              <w:spacing w:before="0" w:after="0" w:line="240" w:lineRule="auto"/>
              <w:rPr>
                <w:sz w:val="20"/>
              </w:rPr>
            </w:pPr>
            <w:r>
              <w:rPr>
                <w:sz w:val="20"/>
              </w:rPr>
              <w:t>(</w:t>
            </w:r>
            <w:r>
              <w:rPr>
                <w:i/>
                <w:sz w:val="20"/>
              </w:rPr>
              <w:t>a</w:t>
            </w:r>
            <w:r>
              <w:rPr>
                <w:sz w:val="20"/>
              </w:rPr>
              <w:t>) Indicate the study’s design with a commonly used term in the title or the abstract</w:t>
            </w:r>
          </w:p>
        </w:tc>
        <w:tc>
          <w:tcPr>
            <w:tcW w:w="1276" w:type="dxa"/>
            <w:vAlign w:val="center"/>
          </w:tcPr>
          <w:p>
            <w:r>
              <w:rPr>
                <w:b w:val="0"/>
                <w:sz w:val="15"/>
              </w:rPr>
              <w:t>1</w:t>
            </w:r>
          </w:p>
        </w:tc>
        <w:tc>
          <w:tcPr>
            <w:tcW w:w="3118" w:type="dxa"/>
            <w:vAlign w:val="center"/>
          </w:tcPr>
          <w:p>
            <w:r>
              <w:rPr>
                <w:b w:val="0"/>
                <w:sz w:val="15"/>
              </w:rPr>
              <w:t>Abstract (Methods): “We retrospectively evaluated 673 patients without known coronary artery disease who underwent both CCTA and invasive coronary angiography (ICA) within 90 days, yielding 2692 vessel observations.” This indicates a retrospective design, but the abstract does not explicitly name it as an observational/cohort study; the full design is stated in Section 2.1 (page 2).</w:t>
            </w:r>
          </w:p>
        </w:tc>
      </w:tr>
      <w:tr w14:paraId="7F0ABF7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60A3A141">
            <w:pPr>
              <w:tabs>
                <w:tab w:val="left" w:pos="5400"/>
              </w:tabs>
              <w:rPr>
                <w:bCs/>
                <w:sz w:val="20"/>
              </w:rPr>
            </w:pPr>
            <w:bookmarkStart w:id="11" w:name="bold6" w:colFirst="0" w:colLast="0"/>
            <w:bookmarkStart w:id="12" w:name="italic7" w:colFirst="0" w:colLast="0"/>
          </w:p>
        </w:tc>
        <w:tc>
          <w:tcPr>
            <w:tcW w:w="749" w:type="dxa"/>
            <w:vMerge w:val="continue"/>
          </w:tcPr>
          <w:p w14:paraId="5CAF13ED">
            <w:pPr>
              <w:tabs>
                <w:tab w:val="left" w:pos="5400"/>
              </w:tabs>
              <w:jc w:val="center"/>
              <w:rPr>
                <w:sz w:val="20"/>
              </w:rPr>
            </w:pPr>
          </w:p>
        </w:tc>
        <w:tc>
          <w:tcPr>
            <w:tcW w:w="8328" w:type="dxa"/>
            <w:vAlign w:val="center"/>
          </w:tcPr>
          <w:p w14:paraId="15DD9203">
            <w:pPr>
              <w:tabs>
                <w:tab w:val="left" w:pos="5400"/>
              </w:tabs>
              <w:spacing w:before="0" w:after="0" w:line="240" w:lineRule="auto"/>
              <w:rPr>
                <w:sz w:val="20"/>
              </w:rPr>
            </w:pPr>
            <w:r>
              <w:rPr>
                <w:sz w:val="20"/>
              </w:rPr>
              <w:t>(</w:t>
            </w:r>
            <w:r>
              <w:rPr>
                <w:i/>
                <w:sz w:val="20"/>
              </w:rPr>
              <w:t>b</w:t>
            </w:r>
            <w:r>
              <w:rPr>
                <w:sz w:val="20"/>
              </w:rPr>
              <w:t>) Provide in the abstract an informative and balanced summary of what was done and what was found</w:t>
            </w:r>
          </w:p>
        </w:tc>
        <w:tc>
          <w:tcPr>
            <w:tcW w:w="1276" w:type="dxa"/>
            <w:vAlign w:val="center"/>
          </w:tcPr>
          <w:p>
            <w:r>
              <w:rPr>
                <w:b w:val="0"/>
                <w:sz w:val="15"/>
              </w:rPr>
              <w:t>1</w:t>
            </w:r>
          </w:p>
        </w:tc>
        <w:tc>
          <w:tcPr>
            <w:tcW w:w="3118" w:type="dxa"/>
            <w:vAlign w:val="center"/>
          </w:tcPr>
          <w:p>
            <w:r>
              <w:rPr>
                <w:b w:val="0"/>
                <w:sz w:val="15"/>
              </w:rPr>
              <w:t>The abstract reports the study aim, retrospective observational analysis (673 patients; 2692 vessel observations), outcome definition, RCS and GEE methods, key patient- and vessel-level results, sensitivity analysis, and a balanced conclusion emphasizing nonlinear and territory-dependent associations.</w:t>
            </w:r>
          </w:p>
        </w:tc>
      </w:tr>
      <w:bookmarkEnd w:id="11"/>
      <w:bookmarkEnd w:id="12"/>
      <w:tr w14:paraId="02D2928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1874" w:type="dxa"/>
            <w:gridSpan w:val="4"/>
            <w:vAlign w:val="center"/>
          </w:tcPr>
          <w:p w14:paraId="4DCA4496">
            <w:pPr>
              <w:pStyle w:val="168"/>
              <w:tabs>
                <w:tab w:val="left" w:pos="5400"/>
              </w:tabs>
              <w:spacing w:before="0" w:after="0" w:line="240" w:lineRule="auto"/>
              <w:rPr>
                <w:sz w:val="20"/>
              </w:rPr>
            </w:pPr>
            <w:bookmarkStart w:id="13" w:name="italic8"/>
            <w:bookmarkStart w:id="14" w:name="bold7"/>
            <w:r>
              <w:rPr>
                <w:sz w:val="20"/>
              </w:rPr>
              <w:t>Introduction</w:t>
            </w:r>
          </w:p>
          <w:bookmarkEnd w:id="13"/>
          <w:bookmarkEnd w:id="14"/>
        </w:tc>
        <w:tc>
          <w:tcPr>
            <w:tcW w:w="3118" w:type="dxa"/>
            <w:vAlign w:val="center"/>
          </w:tcPr>
          <w:p w14:paraId="5B5F9B51">
            <w:pPr>
              <w:pStyle w:val="168"/>
              <w:tabs>
                <w:tab w:val="left" w:pos="5400"/>
              </w:tabs>
              <w:spacing w:before="0" w:after="0" w:line="240" w:lineRule="auto"/>
              <w:rPr>
                <w:sz w:val="20"/>
              </w:rPr>
            </w:pPr>
          </w:p>
        </w:tc>
      </w:tr>
      <w:tr w14:paraId="3094149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Align w:val="center"/>
          </w:tcPr>
          <w:p w14:paraId="54931D0E">
            <w:pPr>
              <w:tabs>
                <w:tab w:val="left" w:pos="5400"/>
              </w:tabs>
              <w:spacing w:before="0" w:after="0" w:line="240" w:lineRule="auto"/>
              <w:rPr>
                <w:bCs/>
                <w:sz w:val="20"/>
              </w:rPr>
            </w:pPr>
            <w:bookmarkStart w:id="15" w:name="bold8"/>
            <w:bookmarkStart w:id="16" w:name="italic9"/>
            <w:r>
              <w:rPr>
                <w:bCs/>
                <w:sz w:val="20"/>
              </w:rPr>
              <w:t>Background/</w:t>
            </w:r>
            <w:bookmarkEnd w:id="15"/>
            <w:bookmarkEnd w:id="16"/>
            <w:bookmarkStart w:id="17" w:name="bold9"/>
            <w:bookmarkStart w:id="18" w:name="italic10"/>
            <w:r>
              <w:rPr>
                <w:bCs/>
                <w:sz w:val="20"/>
              </w:rPr>
              <w:t>rationale</w:t>
            </w:r>
            <w:bookmarkEnd w:id="17"/>
            <w:bookmarkEnd w:id="18"/>
          </w:p>
        </w:tc>
        <w:tc>
          <w:tcPr>
            <w:tcW w:w="749" w:type="dxa"/>
            <w:vAlign w:val="center"/>
          </w:tcPr>
          <w:p w14:paraId="1BCDA503">
            <w:pPr>
              <w:tabs>
                <w:tab w:val="left" w:pos="5400"/>
              </w:tabs>
              <w:spacing w:before="0" w:after="0" w:line="240" w:lineRule="auto"/>
              <w:jc w:val="center"/>
              <w:rPr>
                <w:sz w:val="20"/>
              </w:rPr>
            </w:pPr>
            <w:r>
              <w:rPr>
                <w:sz w:val="20"/>
              </w:rPr>
              <w:t>2</w:t>
            </w:r>
          </w:p>
        </w:tc>
        <w:tc>
          <w:tcPr>
            <w:tcW w:w="8328" w:type="dxa"/>
            <w:vAlign w:val="center"/>
          </w:tcPr>
          <w:p w14:paraId="1025D76F">
            <w:pPr>
              <w:tabs>
                <w:tab w:val="left" w:pos="5400"/>
              </w:tabs>
              <w:spacing w:before="0" w:after="0" w:line="240" w:lineRule="auto"/>
              <w:rPr>
                <w:sz w:val="20"/>
              </w:rPr>
            </w:pPr>
            <w:r>
              <w:rPr>
                <w:sz w:val="20"/>
              </w:rPr>
              <w:t>Explain the scientific background and rationale for the investigation being reported</w:t>
            </w:r>
          </w:p>
        </w:tc>
        <w:tc>
          <w:tcPr>
            <w:tcW w:w="1276" w:type="dxa"/>
            <w:vAlign w:val="center"/>
          </w:tcPr>
          <w:p>
            <w:r>
              <w:rPr>
                <w:b w:val="0"/>
                <w:sz w:val="15"/>
              </w:rPr>
              <w:t>1–2</w:t>
            </w:r>
          </w:p>
        </w:tc>
        <w:tc>
          <w:tcPr>
            <w:tcW w:w="3118" w:type="dxa"/>
            <w:vAlign w:val="center"/>
          </w:tcPr>
          <w:p>
            <w:r>
              <w:rPr>
                <w:b w:val="0"/>
                <w:sz w:val="15"/>
              </w:rPr>
              <w:t>The Introduction describes the clinical role and limitations of CCTA, explains calcification-related blooming/beam-hardening artifacts and the clinical hazard of stenosis underestimation, and identifies gaps in prior patient-level analyses and assessment of vessel-specific heterogeneity.</w:t>
            </w:r>
          </w:p>
        </w:tc>
      </w:tr>
      <w:tr w14:paraId="34C3F0B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Align w:val="center"/>
          </w:tcPr>
          <w:p w14:paraId="48DF201D">
            <w:pPr>
              <w:tabs>
                <w:tab w:val="left" w:pos="5400"/>
              </w:tabs>
              <w:spacing w:before="0" w:after="0" w:line="240" w:lineRule="auto"/>
              <w:rPr>
                <w:bCs/>
                <w:sz w:val="20"/>
              </w:rPr>
            </w:pPr>
            <w:bookmarkStart w:id="19" w:name="bold10" w:colFirst="0" w:colLast="0"/>
            <w:bookmarkStart w:id="20" w:name="italic11" w:colFirst="0" w:colLast="0"/>
            <w:r>
              <w:rPr>
                <w:bCs/>
                <w:sz w:val="20"/>
              </w:rPr>
              <w:t>Objectives</w:t>
            </w:r>
          </w:p>
        </w:tc>
        <w:tc>
          <w:tcPr>
            <w:tcW w:w="749" w:type="dxa"/>
            <w:vAlign w:val="center"/>
          </w:tcPr>
          <w:p w14:paraId="2801CE4D">
            <w:pPr>
              <w:tabs>
                <w:tab w:val="left" w:pos="5400"/>
              </w:tabs>
              <w:spacing w:before="0" w:after="0" w:line="240" w:lineRule="auto"/>
              <w:jc w:val="center"/>
              <w:rPr>
                <w:sz w:val="20"/>
              </w:rPr>
            </w:pPr>
            <w:r>
              <w:rPr>
                <w:sz w:val="20"/>
              </w:rPr>
              <w:t>3</w:t>
            </w:r>
          </w:p>
        </w:tc>
        <w:tc>
          <w:tcPr>
            <w:tcW w:w="8328" w:type="dxa"/>
            <w:vAlign w:val="center"/>
          </w:tcPr>
          <w:p w14:paraId="33714471">
            <w:pPr>
              <w:tabs>
                <w:tab w:val="left" w:pos="5400"/>
              </w:tabs>
              <w:spacing w:before="0" w:after="0" w:line="240" w:lineRule="auto"/>
              <w:rPr>
                <w:sz w:val="20"/>
              </w:rPr>
            </w:pPr>
            <w:r>
              <w:rPr>
                <w:sz w:val="20"/>
              </w:rPr>
              <w:t>State specific objectives, including any prespecified hypotheses</w:t>
            </w:r>
          </w:p>
        </w:tc>
        <w:tc>
          <w:tcPr>
            <w:tcW w:w="1276" w:type="dxa"/>
            <w:vAlign w:val="center"/>
          </w:tcPr>
          <w:p>
            <w:r>
              <w:rPr>
                <w:b w:val="0"/>
                <w:sz w:val="15"/>
              </w:rPr>
              <w:t>2</w:t>
            </w:r>
          </w:p>
        </w:tc>
        <w:tc>
          <w:tcPr>
            <w:tcW w:w="3118" w:type="dxa"/>
            <w:vAlign w:val="center"/>
          </w:tcPr>
          <w:p>
            <w:r>
              <w:rPr>
                <w:b w:val="0"/>
                <w:sz w:val="15"/>
              </w:rPr>
              <w:t>“To address these knowledge gaps, this study investigated the nonlinear dose-response association between CAC burden and CCTA underestimation” and sought to characterize nonlinear risk trajectories and vessel-specific heterogeneity using GEE and RCS.</w:t>
            </w:r>
          </w:p>
        </w:tc>
      </w:tr>
      <w:bookmarkEnd w:id="19"/>
      <w:bookmarkEnd w:id="20"/>
      <w:tr w14:paraId="7469916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1874" w:type="dxa"/>
            <w:gridSpan w:val="4"/>
            <w:vAlign w:val="center"/>
          </w:tcPr>
          <w:p w14:paraId="2D03EDAB">
            <w:pPr>
              <w:pStyle w:val="168"/>
              <w:tabs>
                <w:tab w:val="left" w:pos="5400"/>
              </w:tabs>
              <w:spacing w:before="0" w:after="0" w:line="240" w:lineRule="auto"/>
              <w:rPr>
                <w:sz w:val="20"/>
              </w:rPr>
            </w:pPr>
            <w:bookmarkStart w:id="21" w:name="bold11"/>
            <w:bookmarkStart w:id="22" w:name="italic12"/>
            <w:r>
              <w:rPr>
                <w:sz w:val="20"/>
              </w:rPr>
              <w:t>Methods</w:t>
            </w:r>
          </w:p>
          <w:bookmarkEnd w:id="21"/>
          <w:bookmarkEnd w:id="22"/>
        </w:tc>
        <w:tc>
          <w:tcPr>
            <w:tcW w:w="3118" w:type="dxa"/>
            <w:vAlign w:val="center"/>
          </w:tcPr>
          <w:p w14:paraId="219413FF">
            <w:pPr>
              <w:pStyle w:val="168"/>
              <w:tabs>
                <w:tab w:val="left" w:pos="5400"/>
              </w:tabs>
              <w:spacing w:before="0" w:after="0" w:line="240" w:lineRule="auto"/>
              <w:rPr>
                <w:sz w:val="20"/>
              </w:rPr>
            </w:pPr>
          </w:p>
        </w:tc>
      </w:tr>
      <w:tr w14:paraId="053E6E1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Align w:val="center"/>
          </w:tcPr>
          <w:p w14:paraId="0F66F867">
            <w:pPr>
              <w:tabs>
                <w:tab w:val="left" w:pos="5400"/>
              </w:tabs>
              <w:spacing w:before="0" w:after="0" w:line="240" w:lineRule="auto"/>
              <w:rPr>
                <w:bCs/>
                <w:sz w:val="20"/>
              </w:rPr>
            </w:pPr>
            <w:bookmarkStart w:id="23" w:name="bold12" w:colFirst="0" w:colLast="0"/>
            <w:bookmarkStart w:id="24" w:name="italic13" w:colFirst="0" w:colLast="0"/>
            <w:r>
              <w:rPr>
                <w:bCs/>
                <w:sz w:val="20"/>
              </w:rPr>
              <w:t>Study design</w:t>
            </w:r>
          </w:p>
        </w:tc>
        <w:tc>
          <w:tcPr>
            <w:tcW w:w="749" w:type="dxa"/>
            <w:vAlign w:val="center"/>
          </w:tcPr>
          <w:p w14:paraId="04B946E5">
            <w:pPr>
              <w:tabs>
                <w:tab w:val="left" w:pos="5400"/>
              </w:tabs>
              <w:spacing w:before="0" w:after="0" w:line="240" w:lineRule="auto"/>
              <w:jc w:val="center"/>
              <w:rPr>
                <w:sz w:val="20"/>
              </w:rPr>
            </w:pPr>
            <w:r>
              <w:rPr>
                <w:sz w:val="20"/>
              </w:rPr>
              <w:t>4</w:t>
            </w:r>
          </w:p>
        </w:tc>
        <w:tc>
          <w:tcPr>
            <w:tcW w:w="8328" w:type="dxa"/>
            <w:vAlign w:val="center"/>
          </w:tcPr>
          <w:p w14:paraId="10E2900B">
            <w:pPr>
              <w:tabs>
                <w:tab w:val="left" w:pos="5400"/>
              </w:tabs>
              <w:spacing w:before="0" w:after="0" w:line="240" w:lineRule="auto"/>
              <w:rPr>
                <w:sz w:val="20"/>
              </w:rPr>
            </w:pPr>
            <w:r>
              <w:rPr>
                <w:sz w:val="20"/>
              </w:rPr>
              <w:t>Present key elements of study design early in the paper</w:t>
            </w:r>
          </w:p>
        </w:tc>
        <w:tc>
          <w:tcPr>
            <w:tcW w:w="1276" w:type="dxa"/>
            <w:vAlign w:val="center"/>
          </w:tcPr>
          <w:p>
            <w:r>
              <w:rPr>
                <w:b w:val="0"/>
                <w:sz w:val="15"/>
              </w:rPr>
              <w:t>2</w:t>
            </w:r>
          </w:p>
        </w:tc>
        <w:tc>
          <w:tcPr>
            <w:tcW w:w="3118" w:type="dxa"/>
            <w:vAlign w:val="center"/>
          </w:tcPr>
          <w:p>
            <w:r>
              <w:rPr>
                <w:b w:val="0"/>
                <w:sz w:val="15"/>
              </w:rPr>
              <w:t>“This retrospective, single-center observational study was conducted at Beijing Friendship Hospital between January 2019 and December 2023.”</w:t>
            </w:r>
          </w:p>
        </w:tc>
      </w:tr>
      <w:bookmarkEnd w:id="23"/>
      <w:bookmarkEnd w:id="24"/>
      <w:tr w14:paraId="541C30E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Align w:val="center"/>
          </w:tcPr>
          <w:p w14:paraId="0721C638">
            <w:pPr>
              <w:tabs>
                <w:tab w:val="left" w:pos="5400"/>
              </w:tabs>
              <w:spacing w:before="0" w:after="0" w:line="240" w:lineRule="auto"/>
              <w:rPr>
                <w:bCs/>
                <w:sz w:val="20"/>
              </w:rPr>
            </w:pPr>
            <w:bookmarkStart w:id="25" w:name="bold13" w:colFirst="0" w:colLast="0"/>
            <w:bookmarkStart w:id="26" w:name="italic14" w:colFirst="0" w:colLast="0"/>
            <w:r>
              <w:rPr>
                <w:bCs/>
                <w:sz w:val="20"/>
              </w:rPr>
              <w:t>Setting</w:t>
            </w:r>
          </w:p>
        </w:tc>
        <w:tc>
          <w:tcPr>
            <w:tcW w:w="749" w:type="dxa"/>
            <w:vAlign w:val="center"/>
          </w:tcPr>
          <w:p w14:paraId="722115E2">
            <w:pPr>
              <w:tabs>
                <w:tab w:val="left" w:pos="5400"/>
              </w:tabs>
              <w:spacing w:before="0" w:after="0" w:line="240" w:lineRule="auto"/>
              <w:jc w:val="center"/>
              <w:rPr>
                <w:sz w:val="20"/>
              </w:rPr>
            </w:pPr>
            <w:r>
              <w:rPr>
                <w:sz w:val="20"/>
              </w:rPr>
              <w:t>5</w:t>
            </w:r>
          </w:p>
        </w:tc>
        <w:tc>
          <w:tcPr>
            <w:tcW w:w="8328" w:type="dxa"/>
            <w:vAlign w:val="center"/>
          </w:tcPr>
          <w:p w14:paraId="20D820C2">
            <w:pPr>
              <w:tabs>
                <w:tab w:val="left" w:pos="5400"/>
              </w:tabs>
              <w:spacing w:before="0" w:after="0" w:line="240" w:lineRule="auto"/>
              <w:rPr>
                <w:sz w:val="20"/>
              </w:rPr>
            </w:pPr>
            <w:r>
              <w:rPr>
                <w:sz w:val="20"/>
              </w:rPr>
              <w:t>Describe the setting, locations, and relevant dates, including periods of recruitment, exposure, follow-up, and data collection</w:t>
            </w:r>
          </w:p>
        </w:tc>
        <w:tc>
          <w:tcPr>
            <w:tcW w:w="1276" w:type="dxa"/>
            <w:vAlign w:val="center"/>
          </w:tcPr>
          <w:p>
            <w:r>
              <w:rPr>
                <w:b w:val="0"/>
                <w:sz w:val="15"/>
              </w:rPr>
              <w:t>2</w:t>
            </w:r>
          </w:p>
        </w:tc>
        <w:tc>
          <w:tcPr>
            <w:tcW w:w="3118" w:type="dxa"/>
            <w:vAlign w:val="center"/>
          </w:tcPr>
          <w:p>
            <w:r>
              <w:rPr>
                <w:b w:val="0"/>
                <w:sz w:val="15"/>
              </w:rPr>
              <w:t>The study was conducted at Beijing Friendship Hospital from January 2019 to December 2023. Eligible patients underwent ICA within three months (90 days) after CCTA.</w:t>
            </w:r>
          </w:p>
        </w:tc>
      </w:tr>
      <w:bookmarkEnd w:id="25"/>
      <w:bookmarkEnd w:id="26"/>
      <w:tr w14:paraId="667386E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restart"/>
            <w:vAlign w:val="center"/>
          </w:tcPr>
          <w:p w14:paraId="40B5F4D8">
            <w:pPr>
              <w:tabs>
                <w:tab w:val="left" w:pos="5400"/>
              </w:tabs>
              <w:spacing w:before="0" w:after="0" w:line="240" w:lineRule="auto"/>
              <w:rPr>
                <w:bCs/>
                <w:sz w:val="20"/>
              </w:rPr>
            </w:pPr>
            <w:r>
              <w:rPr>
                <w:bCs/>
                <w:sz w:val="20"/>
              </w:rPr>
              <w:t>Participants</w:t>
            </w:r>
          </w:p>
        </w:tc>
        <w:tc>
          <w:tcPr>
            <w:tcW w:w="749" w:type="dxa"/>
            <w:vMerge w:val="restart"/>
            <w:vAlign w:val="center"/>
          </w:tcPr>
          <w:p w14:paraId="5B49C619">
            <w:pPr>
              <w:tabs>
                <w:tab w:val="left" w:pos="5400"/>
              </w:tabs>
              <w:spacing w:before="0" w:after="0" w:line="240" w:lineRule="auto"/>
              <w:jc w:val="center"/>
              <w:rPr>
                <w:sz w:val="20"/>
              </w:rPr>
            </w:pPr>
            <w:r>
              <w:rPr>
                <w:sz w:val="20"/>
              </w:rPr>
              <w:t>6</w:t>
            </w:r>
          </w:p>
        </w:tc>
        <w:tc>
          <w:tcPr>
            <w:tcW w:w="8328" w:type="dxa"/>
            <w:vAlign w:val="center"/>
          </w:tcPr>
          <w:p w14:paraId="562E2E45">
            <w:pPr>
              <w:tabs>
                <w:tab w:val="left" w:pos="5400"/>
              </w:tabs>
              <w:spacing w:before="0" w:after="0" w:line="240" w:lineRule="auto"/>
              <w:rPr>
                <w:sz w:val="20"/>
              </w:rPr>
            </w:pPr>
            <w:r>
              <w:rPr>
                <w:sz w:val="20"/>
              </w:rPr>
              <w:t>(</w:t>
            </w:r>
            <w:r>
              <w:rPr>
                <w:i/>
                <w:sz w:val="20"/>
              </w:rPr>
              <w:t>a</w:t>
            </w:r>
            <w:r>
              <w:rPr>
                <w:sz w:val="20"/>
              </w:rPr>
              <w:t xml:space="preserve">) </w:t>
            </w:r>
            <w:r>
              <w:rPr>
                <w:i/>
                <w:sz w:val="20"/>
              </w:rPr>
              <w:t>Cohort study</w:t>
            </w:r>
            <w:r>
              <w:rPr>
                <w:sz w:val="20"/>
              </w:rPr>
              <w:t>—Give the eligibility criteria, and the sources and methods of selection of participants. Describe methods of follow-up</w:t>
            </w:r>
          </w:p>
          <w:p w14:paraId="2A8A7031">
            <w:pPr>
              <w:tabs>
                <w:tab w:val="left" w:pos="5400"/>
              </w:tabs>
              <w:spacing w:before="0" w:after="0" w:line="240" w:lineRule="auto"/>
              <w:rPr>
                <w:sz w:val="20"/>
              </w:rPr>
            </w:pPr>
            <w:r>
              <w:rPr>
                <w:i/>
                <w:sz w:val="20"/>
              </w:rPr>
              <w:t>Case-control study</w:t>
            </w:r>
            <w:r>
              <w:rPr>
                <w:sz w:val="20"/>
              </w:rPr>
              <w:t>—Give the eligibility criteria, and the sources and methods of case ascertainment and control selection. Give the rationale for the choice of cases and controls</w:t>
            </w:r>
          </w:p>
          <w:p w14:paraId="79058C59">
            <w:pPr>
              <w:tabs>
                <w:tab w:val="left" w:pos="5400"/>
              </w:tabs>
              <w:spacing w:before="0" w:after="0" w:line="240" w:lineRule="auto"/>
              <w:rPr>
                <w:sz w:val="20"/>
              </w:rPr>
            </w:pPr>
            <w:r>
              <w:rPr>
                <w:i/>
                <w:sz w:val="20"/>
              </w:rPr>
              <w:t>Cross-sectional study</w:t>
            </w:r>
            <w:r>
              <w:rPr>
                <w:sz w:val="20"/>
              </w:rPr>
              <w:t>—Give the eligibility criteria, and the sources and methods of selection of participants</w:t>
            </w:r>
          </w:p>
        </w:tc>
        <w:tc>
          <w:tcPr>
            <w:tcW w:w="1276" w:type="dxa"/>
            <w:vAlign w:val="center"/>
          </w:tcPr>
          <w:p>
            <w:r>
              <w:rPr>
                <w:b w:val="0"/>
                <w:sz w:val="15"/>
              </w:rPr>
              <w:t>2–3</w:t>
            </w:r>
          </w:p>
        </w:tc>
        <w:tc>
          <w:tcPr>
            <w:tcW w:w="3118" w:type="dxa"/>
            <w:vAlign w:val="center"/>
          </w:tcPr>
          <w:p>
            <w:r>
              <w:rPr>
                <w:b w:val="0"/>
                <w:sz w:val="15"/>
              </w:rPr>
              <w:t>Section 2.1 reports initial screening of 920 patients without prior confirmed CAD, the inclusion/exclusion criteria, and the final cohort of 673 patients (2692 vessel observations). Fig. 1 on page 3 summarizes participant selection and the analytical workflow.</w:t>
            </w:r>
          </w:p>
        </w:tc>
      </w:tr>
      <w:tr w14:paraId="686A5EE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0BB64708">
            <w:pPr>
              <w:tabs>
                <w:tab w:val="left" w:pos="5400"/>
              </w:tabs>
              <w:rPr>
                <w:bCs/>
                <w:sz w:val="20"/>
              </w:rPr>
            </w:pPr>
            <w:bookmarkStart w:id="27" w:name="bold14" w:colFirst="0" w:colLast="0"/>
            <w:bookmarkStart w:id="28" w:name="italic15" w:colFirst="0" w:colLast="0"/>
          </w:p>
        </w:tc>
        <w:tc>
          <w:tcPr>
            <w:tcW w:w="749" w:type="dxa"/>
            <w:vMerge w:val="continue"/>
          </w:tcPr>
          <w:p w14:paraId="1571FD62">
            <w:pPr>
              <w:tabs>
                <w:tab w:val="left" w:pos="5400"/>
              </w:tabs>
              <w:jc w:val="center"/>
              <w:rPr>
                <w:sz w:val="20"/>
              </w:rPr>
            </w:pPr>
          </w:p>
        </w:tc>
        <w:tc>
          <w:tcPr>
            <w:tcW w:w="8328" w:type="dxa"/>
            <w:vAlign w:val="center"/>
          </w:tcPr>
          <w:p w14:paraId="47F806F1">
            <w:pPr>
              <w:tabs>
                <w:tab w:val="left" w:pos="5400"/>
              </w:tabs>
              <w:spacing w:before="0" w:after="0" w:line="240" w:lineRule="auto"/>
              <w:rPr>
                <w:sz w:val="20"/>
              </w:rPr>
            </w:pPr>
            <w:r>
              <w:rPr>
                <w:sz w:val="20"/>
              </w:rPr>
              <w:t>(</w:t>
            </w:r>
            <w:r>
              <w:rPr>
                <w:i/>
                <w:sz w:val="20"/>
              </w:rPr>
              <w:t>b</w:t>
            </w:r>
            <w:r>
              <w:rPr>
                <w:sz w:val="20"/>
              </w:rPr>
              <w:t>)</w:t>
            </w:r>
            <w:r>
              <w:rPr>
                <w:b/>
                <w:bCs/>
                <w:sz w:val="20"/>
              </w:rPr>
              <w:t xml:space="preserve"> </w:t>
            </w:r>
            <w:r>
              <w:rPr>
                <w:bCs/>
                <w:i/>
                <w:sz w:val="20"/>
              </w:rPr>
              <w:t>Cohort study</w:t>
            </w:r>
            <w:r>
              <w:rPr>
                <w:sz w:val="20"/>
              </w:rPr>
              <w:t>—For matched studies, give matching criteria and number of exposed and unexposed</w:t>
            </w:r>
          </w:p>
          <w:p w14:paraId="4236DBB7">
            <w:pPr>
              <w:tabs>
                <w:tab w:val="left" w:pos="5400"/>
              </w:tabs>
              <w:spacing w:before="0" w:after="0" w:line="240" w:lineRule="auto"/>
              <w:rPr>
                <w:i/>
                <w:sz w:val="20"/>
              </w:rPr>
            </w:pPr>
            <w:r>
              <w:rPr>
                <w:bCs/>
                <w:i/>
                <w:sz w:val="20"/>
              </w:rPr>
              <w:t>Case-control study</w:t>
            </w:r>
            <w:r>
              <w:rPr>
                <w:sz w:val="20"/>
              </w:rPr>
              <w:t>—For matched studies, give matching criteria and the number of controls per case</w:t>
            </w:r>
          </w:p>
        </w:tc>
        <w:tc>
          <w:tcPr>
            <w:tcW w:w="1276" w:type="dxa"/>
            <w:vAlign w:val="center"/>
          </w:tcPr>
          <w:p>
            <w:r>
              <w:rPr>
                <w:b w:val="0"/>
                <w:sz w:val="15"/>
              </w:rPr>
              <w:t>N/A</w:t>
            </w:r>
          </w:p>
        </w:tc>
        <w:tc>
          <w:tcPr>
            <w:tcW w:w="3118" w:type="dxa"/>
            <w:vAlign w:val="center"/>
          </w:tcPr>
          <w:p>
            <w:r>
              <w:rPr>
                <w:b w:val="0"/>
                <w:sz w:val="15"/>
              </w:rPr>
              <w:t>Not applicable; no matching was used in this retrospective observational diagnostic-comparison study.</w:t>
            </w:r>
          </w:p>
        </w:tc>
      </w:tr>
      <w:bookmarkEnd w:id="27"/>
      <w:bookmarkEnd w:id="28"/>
      <w:tr w14:paraId="0D77117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Align w:val="center"/>
          </w:tcPr>
          <w:p w14:paraId="73F0FCC1">
            <w:pPr>
              <w:tabs>
                <w:tab w:val="left" w:pos="5400"/>
              </w:tabs>
              <w:spacing w:before="0" w:after="0" w:line="240" w:lineRule="auto"/>
              <w:rPr>
                <w:bCs/>
                <w:sz w:val="20"/>
              </w:rPr>
            </w:pPr>
            <w:bookmarkStart w:id="29" w:name="bold16" w:colFirst="0" w:colLast="0"/>
            <w:bookmarkStart w:id="30" w:name="italic17" w:colFirst="0" w:colLast="0"/>
            <w:r>
              <w:rPr>
                <w:bCs/>
                <w:sz w:val="20"/>
              </w:rPr>
              <w:t>Variables</w:t>
            </w:r>
          </w:p>
        </w:tc>
        <w:tc>
          <w:tcPr>
            <w:tcW w:w="749" w:type="dxa"/>
            <w:vAlign w:val="center"/>
          </w:tcPr>
          <w:p w14:paraId="1B16BADE">
            <w:pPr>
              <w:tabs>
                <w:tab w:val="left" w:pos="5400"/>
              </w:tabs>
              <w:spacing w:before="0" w:after="0" w:line="240" w:lineRule="auto"/>
              <w:jc w:val="center"/>
              <w:rPr>
                <w:sz w:val="20"/>
              </w:rPr>
            </w:pPr>
            <w:r>
              <w:rPr>
                <w:sz w:val="20"/>
              </w:rPr>
              <w:t>7</w:t>
            </w:r>
          </w:p>
        </w:tc>
        <w:tc>
          <w:tcPr>
            <w:tcW w:w="8328" w:type="dxa"/>
            <w:vAlign w:val="center"/>
          </w:tcPr>
          <w:p w14:paraId="7314AF00">
            <w:pPr>
              <w:tabs>
                <w:tab w:val="left" w:pos="5400"/>
              </w:tabs>
              <w:spacing w:before="0" w:after="0" w:line="240" w:lineRule="auto"/>
              <w:rPr>
                <w:sz w:val="20"/>
              </w:rPr>
            </w:pPr>
            <w:r>
              <w:rPr>
                <w:sz w:val="20"/>
              </w:rPr>
              <w:t>Clearly define all outcomes, exposures, predictors, potential confounders, and effect modifiers. Give diagnostic criteria, if applicable</w:t>
            </w:r>
          </w:p>
        </w:tc>
        <w:tc>
          <w:tcPr>
            <w:tcW w:w="1276" w:type="dxa"/>
            <w:vAlign w:val="center"/>
          </w:tcPr>
          <w:p>
            <w:r>
              <w:rPr>
                <w:b w:val="0"/>
                <w:sz w:val="15"/>
              </w:rPr>
              <w:t>2–4</w:t>
            </w:r>
          </w:p>
        </w:tc>
        <w:tc>
          <w:tcPr>
            <w:tcW w:w="3118" w:type="dxa"/>
            <w:vAlign w:val="center"/>
          </w:tcPr>
          <w:p>
            <w:r>
              <w:rPr>
                <w:b w:val="0"/>
                <w:sz w:val="15"/>
              </w:rPr>
              <w:t>Section 2.4 defines vessel-level and patient-level CCTA underestimation. Section 2.5 defines total and vessel-specific CAC exposure measures and categories. Section 2.6 lists covariates for the fully adjusted models, and page 4 specifies CAC × vessel interaction terms.</w:t>
            </w:r>
          </w:p>
        </w:tc>
      </w:tr>
      <w:bookmarkEnd w:id="29"/>
      <w:bookmarkEnd w:id="30"/>
      <w:tr w14:paraId="540EDE2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Height w:val="294" w:hRule="atLeast"/>
        </w:trPr>
        <w:tc>
          <w:tcPr>
            <w:tcW w:w="1521" w:type="dxa"/>
            <w:vAlign w:val="center"/>
          </w:tcPr>
          <w:p w14:paraId="031CF6B6">
            <w:pPr>
              <w:tabs>
                <w:tab w:val="left" w:pos="5400"/>
              </w:tabs>
              <w:spacing w:before="0" w:after="0" w:line="240" w:lineRule="auto"/>
              <w:rPr>
                <w:bCs/>
                <w:sz w:val="20"/>
              </w:rPr>
            </w:pPr>
            <w:bookmarkStart w:id="31" w:name="italic18"/>
            <w:bookmarkStart w:id="32" w:name="bold17"/>
            <w:r>
              <w:rPr>
                <w:bCs/>
                <w:sz w:val="20"/>
              </w:rPr>
              <w:t>Data sources/</w:t>
            </w:r>
            <w:bookmarkEnd w:id="31"/>
            <w:bookmarkEnd w:id="32"/>
            <w:bookmarkStart w:id="33" w:name="bold18"/>
            <w:bookmarkStart w:id="34" w:name="italic19"/>
            <w:r>
              <w:rPr>
                <w:bCs/>
                <w:sz w:val="20"/>
              </w:rPr>
              <w:t xml:space="preserve"> measurement</w:t>
            </w:r>
            <w:bookmarkEnd w:id="33"/>
            <w:bookmarkEnd w:id="34"/>
          </w:p>
        </w:tc>
        <w:tc>
          <w:tcPr>
            <w:tcW w:w="749" w:type="dxa"/>
            <w:vAlign w:val="center"/>
          </w:tcPr>
          <w:p w14:paraId="27300557">
            <w:pPr>
              <w:tabs>
                <w:tab w:val="left" w:pos="5400"/>
              </w:tabs>
              <w:spacing w:before="0" w:after="0" w:line="240" w:lineRule="auto"/>
              <w:jc w:val="center"/>
              <w:rPr>
                <w:sz w:val="20"/>
              </w:rPr>
            </w:pPr>
            <w:r>
              <w:rPr>
                <w:sz w:val="20"/>
              </w:rPr>
              <w:t>8</w:t>
            </w:r>
            <w:bookmarkStart w:id="35" w:name="bold19"/>
            <w:r>
              <w:rPr>
                <w:bCs/>
                <w:sz w:val="20"/>
              </w:rPr>
              <w:t>*</w:t>
            </w:r>
            <w:bookmarkEnd w:id="35"/>
          </w:p>
        </w:tc>
        <w:tc>
          <w:tcPr>
            <w:tcW w:w="8328" w:type="dxa"/>
            <w:vAlign w:val="center"/>
          </w:tcPr>
          <w:p w14:paraId="54DC6BC0">
            <w:pPr>
              <w:tabs>
                <w:tab w:val="left" w:pos="5400"/>
              </w:tabs>
              <w:spacing w:before="0" w:after="0" w:line="240" w:lineRule="auto"/>
              <w:rPr>
                <w:sz w:val="20"/>
              </w:rPr>
            </w:pPr>
            <w:r>
              <w:rPr>
                <w:i/>
                <w:sz w:val="20"/>
              </w:rPr>
              <w:t xml:space="preserve"> </w:t>
            </w:r>
            <w:r>
              <w:rPr>
                <w:sz w:val="20"/>
              </w:rPr>
              <w:t>For each variable of interest, give sources of data and details of methods of assessment (measurement). Describe comparability of assessment methods if there is more than one group</w:t>
            </w:r>
          </w:p>
        </w:tc>
        <w:tc>
          <w:tcPr>
            <w:tcW w:w="1276" w:type="dxa"/>
            <w:vAlign w:val="center"/>
          </w:tcPr>
          <w:p>
            <w:r>
              <w:rPr>
                <w:b w:val="0"/>
                <w:sz w:val="15"/>
              </w:rPr>
              <w:t>2–3</w:t>
            </w:r>
          </w:p>
        </w:tc>
        <w:tc>
          <w:tcPr>
            <w:tcW w:w="3118" w:type="dxa"/>
            <w:vAlign w:val="center"/>
          </w:tcPr>
          <w:p>
            <w:r>
              <w:rPr>
                <w:b w:val="0"/>
                <w:sz w:val="15"/>
              </w:rPr>
              <w:t>CCTA acquisition and six-grade stenosis assessment are described in Section 2.2; ICA acquisition, blinded independent assessment, and the identical six-grade system are described in Section 2.3. CAC was measured on non-contrast ECG-gated CT using the Agatston method (≥130 HU; area ≥1 mm²) in Section 2.5.</w:t>
            </w:r>
          </w:p>
        </w:tc>
      </w:tr>
      <w:tr w14:paraId="73F44F2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Align w:val="center"/>
          </w:tcPr>
          <w:p w14:paraId="75CC0C6A">
            <w:pPr>
              <w:tabs>
                <w:tab w:val="left" w:pos="5400"/>
              </w:tabs>
              <w:spacing w:before="0" w:after="0" w:line="240" w:lineRule="auto"/>
              <w:rPr>
                <w:bCs/>
                <w:color w:val="000000"/>
                <w:sz w:val="20"/>
              </w:rPr>
            </w:pPr>
            <w:bookmarkStart w:id="36" w:name="italic20" w:colFirst="0" w:colLast="0"/>
            <w:bookmarkStart w:id="37" w:name="bold20" w:colFirst="0" w:colLast="0"/>
            <w:r>
              <w:rPr>
                <w:bCs/>
                <w:color w:val="000000"/>
                <w:sz w:val="20"/>
              </w:rPr>
              <w:t>Bias</w:t>
            </w:r>
          </w:p>
        </w:tc>
        <w:tc>
          <w:tcPr>
            <w:tcW w:w="749" w:type="dxa"/>
            <w:vAlign w:val="center"/>
          </w:tcPr>
          <w:p w14:paraId="252D372D">
            <w:pPr>
              <w:tabs>
                <w:tab w:val="left" w:pos="5400"/>
              </w:tabs>
              <w:spacing w:before="0" w:after="0" w:line="240" w:lineRule="auto"/>
              <w:jc w:val="center"/>
              <w:rPr>
                <w:sz w:val="20"/>
              </w:rPr>
            </w:pPr>
            <w:r>
              <w:rPr>
                <w:sz w:val="20"/>
              </w:rPr>
              <w:t>9</w:t>
            </w:r>
          </w:p>
        </w:tc>
        <w:tc>
          <w:tcPr>
            <w:tcW w:w="8328" w:type="dxa"/>
            <w:vAlign w:val="center"/>
          </w:tcPr>
          <w:p w14:paraId="4CAC4A09">
            <w:pPr>
              <w:tabs>
                <w:tab w:val="left" w:pos="5400"/>
              </w:tabs>
              <w:spacing w:before="0" w:after="0" w:line="240" w:lineRule="auto"/>
              <w:rPr>
                <w:color w:val="000000"/>
                <w:sz w:val="20"/>
              </w:rPr>
            </w:pPr>
            <w:r>
              <w:rPr>
                <w:color w:val="000000"/>
                <w:sz w:val="20"/>
              </w:rPr>
              <w:t>Describe any efforts to address potential sources of bias</w:t>
            </w:r>
          </w:p>
        </w:tc>
        <w:tc>
          <w:tcPr>
            <w:tcW w:w="1276" w:type="dxa"/>
            <w:vAlign w:val="center"/>
          </w:tcPr>
          <w:p>
            <w:r>
              <w:rPr>
                <w:b w:val="0"/>
                <w:sz w:val="15"/>
              </w:rPr>
              <w:t>2–3</w:t>
            </w:r>
          </w:p>
        </w:tc>
        <w:tc>
          <w:tcPr>
            <w:tcW w:w="3118" w:type="dxa"/>
            <w:vAlign w:val="center"/>
          </w:tcPr>
          <w:p>
            <w:r>
              <w:rPr>
                <w:b w:val="0"/>
                <w:sz w:val="15"/>
              </w:rPr>
              <w:t>ICA stenosis was assessed by two independent readers blinded to CCTA findings, with discrepancies resolved by a third senior interventionalist. GEE with robust Huber-White sandwich standard errors addressed within-patient vessel clustering, and a prespecified sensitivity analysis excluded patients with any overestimation.</w:t>
            </w:r>
          </w:p>
        </w:tc>
      </w:tr>
      <w:bookmarkEnd w:id="36"/>
      <w:bookmarkEnd w:id="37"/>
      <w:tr w14:paraId="5207FCC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Align w:val="center"/>
          </w:tcPr>
          <w:p w14:paraId="15353644">
            <w:pPr>
              <w:tabs>
                <w:tab w:val="left" w:pos="5400"/>
              </w:tabs>
              <w:spacing w:before="0" w:after="0" w:line="240" w:lineRule="auto"/>
              <w:rPr>
                <w:bCs/>
                <w:sz w:val="20"/>
              </w:rPr>
            </w:pPr>
            <w:bookmarkStart w:id="38" w:name="italic21" w:colFirst="0" w:colLast="0"/>
            <w:bookmarkStart w:id="39" w:name="bold21" w:colFirst="0" w:colLast="0"/>
            <w:r>
              <w:rPr>
                <w:bCs/>
                <w:sz w:val="20"/>
              </w:rPr>
              <w:t>Study size</w:t>
            </w:r>
          </w:p>
        </w:tc>
        <w:tc>
          <w:tcPr>
            <w:tcW w:w="749" w:type="dxa"/>
            <w:vAlign w:val="center"/>
          </w:tcPr>
          <w:p w14:paraId="5717CB27">
            <w:pPr>
              <w:tabs>
                <w:tab w:val="left" w:pos="5400"/>
              </w:tabs>
              <w:spacing w:before="0" w:after="0" w:line="240" w:lineRule="auto"/>
              <w:jc w:val="center"/>
              <w:rPr>
                <w:sz w:val="20"/>
              </w:rPr>
            </w:pPr>
            <w:r>
              <w:rPr>
                <w:sz w:val="20"/>
              </w:rPr>
              <w:t>10</w:t>
            </w:r>
          </w:p>
        </w:tc>
        <w:tc>
          <w:tcPr>
            <w:tcW w:w="8328" w:type="dxa"/>
            <w:vAlign w:val="center"/>
          </w:tcPr>
          <w:p w14:paraId="49B031BB">
            <w:pPr>
              <w:tabs>
                <w:tab w:val="left" w:pos="5400"/>
              </w:tabs>
              <w:spacing w:before="0" w:after="0" w:line="240" w:lineRule="auto"/>
              <w:rPr>
                <w:sz w:val="20"/>
              </w:rPr>
            </w:pPr>
            <w:r>
              <w:rPr>
                <w:sz w:val="20"/>
              </w:rPr>
              <w:t>Explain how the study size was arrived at</w:t>
            </w:r>
          </w:p>
        </w:tc>
        <w:tc>
          <w:tcPr>
            <w:tcW w:w="1276" w:type="dxa"/>
            <w:vAlign w:val="center"/>
          </w:tcPr>
          <w:p>
            <w:r>
              <w:rPr>
                <w:b w:val="0"/>
                <w:sz w:val="15"/>
              </w:rPr>
              <w:t>2</w:t>
            </w:r>
          </w:p>
        </w:tc>
        <w:tc>
          <w:tcPr>
            <w:tcW w:w="3118" w:type="dxa"/>
            <w:vAlign w:val="center"/>
          </w:tcPr>
          <w:p>
            <w:r>
              <w:rPr>
                <w:b w:val="0"/>
                <w:sz w:val="15"/>
              </w:rPr>
              <w:t>The manuscript states that 920 patients were initially screened and 673 were included after applying the prespecified eligibility criteria. No separate power-based sample-size calculation is reported.</w:t>
            </w:r>
          </w:p>
        </w:tc>
      </w:tr>
      <w:bookmarkEnd w:id="38"/>
      <w:bookmarkEnd w:id="39"/>
      <w:tr w14:paraId="45956DA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Align w:val="center"/>
          </w:tcPr>
          <w:p w14:paraId="3B64B8CC">
            <w:pPr>
              <w:tabs>
                <w:tab w:val="left" w:pos="5400"/>
              </w:tabs>
              <w:spacing w:before="0" w:after="0" w:line="240" w:lineRule="auto"/>
              <w:rPr>
                <w:bCs/>
                <w:sz w:val="20"/>
              </w:rPr>
            </w:pPr>
            <w:bookmarkStart w:id="40" w:name="italic22"/>
            <w:bookmarkStart w:id="41" w:name="bold22"/>
            <w:r>
              <w:rPr>
                <w:bCs/>
                <w:sz w:val="20"/>
              </w:rPr>
              <w:t>Quantitative</w:t>
            </w:r>
            <w:bookmarkEnd w:id="40"/>
            <w:bookmarkEnd w:id="41"/>
            <w:bookmarkStart w:id="42" w:name="italic23"/>
            <w:bookmarkStart w:id="43" w:name="bold23"/>
            <w:r>
              <w:rPr>
                <w:bCs/>
                <w:sz w:val="20"/>
              </w:rPr>
              <w:t xml:space="preserve"> variables</w:t>
            </w:r>
            <w:bookmarkEnd w:id="42"/>
            <w:bookmarkEnd w:id="43"/>
          </w:p>
        </w:tc>
        <w:tc>
          <w:tcPr>
            <w:tcW w:w="749" w:type="dxa"/>
            <w:vAlign w:val="center"/>
          </w:tcPr>
          <w:p w14:paraId="12FB29B2">
            <w:pPr>
              <w:tabs>
                <w:tab w:val="left" w:pos="5400"/>
              </w:tabs>
              <w:spacing w:before="0" w:after="0" w:line="240" w:lineRule="auto"/>
              <w:jc w:val="center"/>
              <w:rPr>
                <w:sz w:val="20"/>
              </w:rPr>
            </w:pPr>
            <w:r>
              <w:rPr>
                <w:sz w:val="20"/>
              </w:rPr>
              <w:t>11</w:t>
            </w:r>
          </w:p>
        </w:tc>
        <w:tc>
          <w:tcPr>
            <w:tcW w:w="8328" w:type="dxa"/>
            <w:vAlign w:val="center"/>
          </w:tcPr>
          <w:p w14:paraId="76BDA11C">
            <w:pPr>
              <w:tabs>
                <w:tab w:val="left" w:pos="5400"/>
              </w:tabs>
              <w:spacing w:before="0" w:after="0" w:line="240" w:lineRule="auto"/>
              <w:rPr>
                <w:sz w:val="20"/>
              </w:rPr>
            </w:pPr>
            <w:r>
              <w:rPr>
                <w:sz w:val="20"/>
              </w:rPr>
              <w:t>Explain how quantitative variables were handled in the analyses. If applicable, describe which groupings were chosen and why</w:t>
            </w:r>
          </w:p>
        </w:tc>
        <w:tc>
          <w:tcPr>
            <w:tcW w:w="1276" w:type="dxa"/>
            <w:vAlign w:val="center"/>
          </w:tcPr>
          <w:p>
            <w:r>
              <w:rPr>
                <w:b w:val="0"/>
                <w:sz w:val="15"/>
              </w:rPr>
              <w:t>3</w:t>
            </w:r>
          </w:p>
        </w:tc>
        <w:tc>
          <w:tcPr>
            <w:tcW w:w="3118" w:type="dxa"/>
            <w:vAlign w:val="center"/>
          </w:tcPr>
          <w:p>
            <w:r>
              <w:rPr>
                <w:b w:val="0"/>
                <w:sz w:val="15"/>
              </w:rPr>
              <w:t>CAC was analyzed continuously using restricted cubic splines with knots at the 10th, 50th, and 90th percentiles and the median CAC score as the reference, and categorically as 0, 1–99, 100–399, and ≥400.</w:t>
            </w:r>
          </w:p>
        </w:tc>
      </w:tr>
      <w:tr w14:paraId="66DD631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restart"/>
            <w:vAlign w:val="center"/>
          </w:tcPr>
          <w:p w14:paraId="2DF75D1E">
            <w:pPr>
              <w:tabs>
                <w:tab w:val="left" w:pos="5400"/>
              </w:tabs>
              <w:spacing w:before="0" w:after="0" w:line="240" w:lineRule="auto"/>
              <w:rPr>
                <w:sz w:val="20"/>
              </w:rPr>
            </w:pPr>
            <w:bookmarkStart w:id="44" w:name="italic24"/>
            <w:r>
              <w:rPr>
                <w:sz w:val="20"/>
              </w:rPr>
              <w:t>Statistical</w:t>
            </w:r>
            <w:bookmarkEnd w:id="44"/>
            <w:bookmarkStart w:id="45" w:name="italic25"/>
            <w:r>
              <w:rPr>
                <w:sz w:val="20"/>
              </w:rPr>
              <w:t xml:space="preserve"> methods</w:t>
            </w:r>
            <w:bookmarkEnd w:id="45"/>
          </w:p>
        </w:tc>
        <w:tc>
          <w:tcPr>
            <w:tcW w:w="749" w:type="dxa"/>
            <w:vMerge w:val="restart"/>
            <w:vAlign w:val="center"/>
          </w:tcPr>
          <w:p w14:paraId="627CCC56">
            <w:pPr>
              <w:tabs>
                <w:tab w:val="left" w:pos="5400"/>
              </w:tabs>
              <w:spacing w:before="0" w:after="0" w:line="240" w:lineRule="auto"/>
              <w:jc w:val="center"/>
              <w:rPr>
                <w:sz w:val="20"/>
              </w:rPr>
            </w:pPr>
            <w:r>
              <w:rPr>
                <w:sz w:val="20"/>
              </w:rPr>
              <w:t>12</w:t>
            </w:r>
          </w:p>
        </w:tc>
        <w:tc>
          <w:tcPr>
            <w:tcW w:w="8328" w:type="dxa"/>
            <w:vAlign w:val="center"/>
          </w:tcPr>
          <w:p w14:paraId="33A39972">
            <w:pPr>
              <w:tabs>
                <w:tab w:val="left" w:pos="5400"/>
              </w:tabs>
              <w:spacing w:before="0" w:after="0" w:line="240" w:lineRule="auto"/>
              <w:rPr>
                <w:sz w:val="20"/>
              </w:rPr>
            </w:pPr>
            <w:r>
              <w:rPr>
                <w:sz w:val="20"/>
              </w:rPr>
              <w:t>(</w:t>
            </w:r>
            <w:r>
              <w:rPr>
                <w:i/>
                <w:sz w:val="20"/>
              </w:rPr>
              <w:t>a</w:t>
            </w:r>
            <w:r>
              <w:rPr>
                <w:sz w:val="20"/>
              </w:rPr>
              <w:t>) Describe all statistical methods, including those used to control for confounding</w:t>
            </w:r>
          </w:p>
        </w:tc>
        <w:tc>
          <w:tcPr>
            <w:tcW w:w="1276" w:type="dxa"/>
            <w:vAlign w:val="center"/>
          </w:tcPr>
          <w:p>
            <w:r>
              <w:rPr>
                <w:b w:val="0"/>
                <w:sz w:val="15"/>
              </w:rPr>
              <w:t>3–4; 6; 11</w:t>
            </w:r>
          </w:p>
        </w:tc>
        <w:tc>
          <w:tcPr>
            <w:tcW w:w="3118" w:type="dxa"/>
            <w:vAlign w:val="center"/>
          </w:tcPr>
          <w:p>
            <w:r>
              <w:rPr>
                <w:b w:val="0"/>
                <w:sz w:val="15"/>
              </w:rPr>
              <w:t>Baseline comparisons used the Mann-Whitney U test and Chi-square/Fisher’s exact tests. Patient-level associations used RCS and three logistic models; vessel-level outcomes used GEE with exchangeable correlation and robust Huber-White standard errors. CAC × vessel interactions were tested. Tables 2–3 specify the Cochran-Armitage trend test, and the Fig. 7 caption specifies multivariable logistic regression for subgroup analyses.</w:t>
            </w:r>
          </w:p>
        </w:tc>
      </w:tr>
      <w:tr w14:paraId="660DD7F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27EA3687">
            <w:pPr>
              <w:tabs>
                <w:tab w:val="left" w:pos="5400"/>
              </w:tabs>
              <w:rPr>
                <w:bCs/>
                <w:sz w:val="20"/>
              </w:rPr>
            </w:pPr>
            <w:bookmarkStart w:id="46" w:name="bold24" w:colFirst="0" w:colLast="0"/>
            <w:bookmarkStart w:id="47" w:name="italic26" w:colFirst="0" w:colLast="0"/>
          </w:p>
        </w:tc>
        <w:tc>
          <w:tcPr>
            <w:tcW w:w="749" w:type="dxa"/>
            <w:vMerge w:val="continue"/>
          </w:tcPr>
          <w:p w14:paraId="2A8860AD">
            <w:pPr>
              <w:tabs>
                <w:tab w:val="left" w:pos="5400"/>
              </w:tabs>
              <w:jc w:val="center"/>
              <w:rPr>
                <w:sz w:val="20"/>
              </w:rPr>
            </w:pPr>
          </w:p>
        </w:tc>
        <w:tc>
          <w:tcPr>
            <w:tcW w:w="8328" w:type="dxa"/>
            <w:vAlign w:val="center"/>
          </w:tcPr>
          <w:p w14:paraId="31940E9B">
            <w:pPr>
              <w:tabs>
                <w:tab w:val="left" w:pos="5400"/>
              </w:tabs>
              <w:spacing w:before="0" w:after="0" w:line="240" w:lineRule="auto"/>
              <w:rPr>
                <w:sz w:val="20"/>
              </w:rPr>
            </w:pPr>
            <w:r>
              <w:rPr>
                <w:sz w:val="20"/>
              </w:rPr>
              <w:t>(</w:t>
            </w:r>
            <w:r>
              <w:rPr>
                <w:i/>
                <w:sz w:val="20"/>
              </w:rPr>
              <w:t>b</w:t>
            </w:r>
            <w:r>
              <w:rPr>
                <w:sz w:val="20"/>
              </w:rPr>
              <w:t>) Describe any methods used to examine subgroups and interactions</w:t>
            </w:r>
          </w:p>
        </w:tc>
        <w:tc>
          <w:tcPr>
            <w:tcW w:w="1276" w:type="dxa"/>
            <w:vAlign w:val="center"/>
          </w:tcPr>
          <w:p>
            <w:r>
              <w:rPr>
                <w:b w:val="0"/>
                <w:sz w:val="15"/>
              </w:rPr>
              <w:t>4; 9; 11</w:t>
            </w:r>
          </w:p>
        </w:tc>
        <w:tc>
          <w:tcPr>
            <w:tcW w:w="3118" w:type="dxa"/>
            <w:vAlign w:val="center"/>
          </w:tcPr>
          <w:p>
            <w:r>
              <w:rPr>
                <w:b w:val="0"/>
                <w:sz w:val="15"/>
              </w:rPr>
              <w:t>Page 4 specifies CAC × vessel interaction terms. Section 3.8 on page 9 reports subgroup analyses, and the Fig. 7 caption on page 11 specifies multivariable logistic regression adjusted for Model 3 covariates with interaction p-values. The subgroup procedure is not otherwise detailed in Section 2.6.</w:t>
            </w:r>
          </w:p>
        </w:tc>
      </w:tr>
      <w:bookmarkEnd w:id="46"/>
      <w:bookmarkEnd w:id="47"/>
      <w:tr w14:paraId="3058BF9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05EB50DC">
            <w:pPr>
              <w:tabs>
                <w:tab w:val="left" w:pos="5400"/>
              </w:tabs>
              <w:rPr>
                <w:bCs/>
                <w:sz w:val="20"/>
              </w:rPr>
            </w:pPr>
            <w:bookmarkStart w:id="48" w:name="italic27" w:colFirst="0" w:colLast="0"/>
            <w:bookmarkStart w:id="49" w:name="bold25" w:colFirst="0" w:colLast="0"/>
          </w:p>
        </w:tc>
        <w:tc>
          <w:tcPr>
            <w:tcW w:w="749" w:type="dxa"/>
            <w:vMerge w:val="continue"/>
          </w:tcPr>
          <w:p w14:paraId="57630152">
            <w:pPr>
              <w:tabs>
                <w:tab w:val="left" w:pos="5400"/>
              </w:tabs>
              <w:jc w:val="center"/>
              <w:rPr>
                <w:sz w:val="20"/>
              </w:rPr>
            </w:pPr>
          </w:p>
        </w:tc>
        <w:tc>
          <w:tcPr>
            <w:tcW w:w="8328" w:type="dxa"/>
            <w:vAlign w:val="center"/>
          </w:tcPr>
          <w:p w14:paraId="265D6E55">
            <w:pPr>
              <w:tabs>
                <w:tab w:val="left" w:pos="5400"/>
              </w:tabs>
              <w:spacing w:before="0" w:after="0" w:line="240" w:lineRule="auto"/>
              <w:rPr>
                <w:sz w:val="20"/>
              </w:rPr>
            </w:pPr>
            <w:r>
              <w:rPr>
                <w:sz w:val="20"/>
              </w:rPr>
              <w:t>(</w:t>
            </w:r>
            <w:r>
              <w:rPr>
                <w:i/>
                <w:sz w:val="20"/>
              </w:rPr>
              <w:t>c</w:t>
            </w:r>
            <w:r>
              <w:rPr>
                <w:sz w:val="20"/>
              </w:rPr>
              <w:t>) Explain how missing data were addressed</w:t>
            </w:r>
          </w:p>
        </w:tc>
        <w:tc>
          <w:tcPr>
            <w:tcW w:w="1276" w:type="dxa"/>
            <w:vAlign w:val="center"/>
          </w:tcPr>
          <w:p>
            <w:r>
              <w:rPr>
                <w:b w:val="0"/>
                <w:sz w:val="15"/>
              </w:rPr>
              <w:t>3</w:t>
            </w:r>
          </w:p>
        </w:tc>
        <w:tc>
          <w:tcPr>
            <w:tcW w:w="3118" w:type="dxa"/>
            <w:vAlign w:val="center"/>
          </w:tcPr>
          <w:p>
            <w:r>
              <w:rPr>
                <w:b w:val="0"/>
                <w:sz w:val="15"/>
              </w:rPr>
              <w:t>“Missing data were minimal (&lt;1%) and handled using complete case analysis.”</w:t>
            </w:r>
          </w:p>
        </w:tc>
      </w:tr>
      <w:bookmarkEnd w:id="48"/>
      <w:bookmarkEnd w:id="49"/>
      <w:tr w14:paraId="1E7F6C3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5549545E">
            <w:pPr>
              <w:tabs>
                <w:tab w:val="left" w:pos="5400"/>
              </w:tabs>
              <w:rPr>
                <w:bCs/>
                <w:sz w:val="20"/>
              </w:rPr>
            </w:pPr>
            <w:bookmarkStart w:id="50" w:name="bold26" w:colFirst="0" w:colLast="0"/>
            <w:bookmarkStart w:id="51" w:name="italic28" w:colFirst="0" w:colLast="0"/>
          </w:p>
        </w:tc>
        <w:tc>
          <w:tcPr>
            <w:tcW w:w="749" w:type="dxa"/>
            <w:vMerge w:val="continue"/>
          </w:tcPr>
          <w:p w14:paraId="4A6243A1">
            <w:pPr>
              <w:tabs>
                <w:tab w:val="left" w:pos="5400"/>
              </w:tabs>
              <w:jc w:val="center"/>
              <w:rPr>
                <w:sz w:val="20"/>
              </w:rPr>
            </w:pPr>
          </w:p>
        </w:tc>
        <w:tc>
          <w:tcPr>
            <w:tcW w:w="8328" w:type="dxa"/>
            <w:vAlign w:val="center"/>
          </w:tcPr>
          <w:p w14:paraId="6951858E">
            <w:pPr>
              <w:tabs>
                <w:tab w:val="left" w:pos="5400"/>
              </w:tabs>
              <w:spacing w:before="0" w:after="0" w:line="240" w:lineRule="auto"/>
              <w:rPr>
                <w:sz w:val="20"/>
              </w:rPr>
            </w:pPr>
            <w:r>
              <w:rPr>
                <w:sz w:val="20"/>
              </w:rPr>
              <w:t>(</w:t>
            </w:r>
            <w:r>
              <w:rPr>
                <w:i/>
                <w:sz w:val="20"/>
              </w:rPr>
              <w:t>d</w:t>
            </w:r>
            <w:r>
              <w:rPr>
                <w:sz w:val="20"/>
              </w:rPr>
              <w:t xml:space="preserve">) </w:t>
            </w:r>
            <w:r>
              <w:rPr>
                <w:bCs/>
                <w:i/>
                <w:sz w:val="20"/>
              </w:rPr>
              <w:t>Cohort study</w:t>
            </w:r>
            <w:r>
              <w:rPr>
                <w:sz w:val="20"/>
              </w:rPr>
              <w:t>—If applicable, explain how loss to follow-up was addressed</w:t>
            </w:r>
          </w:p>
          <w:p w14:paraId="7D3EE447">
            <w:pPr>
              <w:tabs>
                <w:tab w:val="left" w:pos="5400"/>
              </w:tabs>
              <w:spacing w:before="0" w:after="0" w:line="240" w:lineRule="auto"/>
              <w:rPr>
                <w:sz w:val="20"/>
              </w:rPr>
            </w:pPr>
            <w:r>
              <w:rPr>
                <w:bCs/>
                <w:i/>
                <w:sz w:val="20"/>
              </w:rPr>
              <w:t>Case-control study</w:t>
            </w:r>
            <w:r>
              <w:rPr>
                <w:sz w:val="20"/>
              </w:rPr>
              <w:t>—If applicable, explain how matching of cases and controls was addressed</w:t>
            </w:r>
          </w:p>
          <w:p w14:paraId="1E174145">
            <w:pPr>
              <w:tabs>
                <w:tab w:val="left" w:pos="5400"/>
              </w:tabs>
              <w:spacing w:before="0" w:after="0" w:line="240" w:lineRule="auto"/>
              <w:rPr>
                <w:sz w:val="20"/>
              </w:rPr>
            </w:pPr>
            <w:r>
              <w:rPr>
                <w:bCs/>
                <w:i/>
                <w:sz w:val="20"/>
              </w:rPr>
              <w:t>Cross-sectional study</w:t>
            </w:r>
            <w:r>
              <w:rPr>
                <w:sz w:val="20"/>
              </w:rPr>
              <w:t>—If applicable, describe analytical methods taking account of sampling strategy</w:t>
            </w:r>
          </w:p>
        </w:tc>
        <w:tc>
          <w:tcPr>
            <w:tcW w:w="1276" w:type="dxa"/>
            <w:vAlign w:val="center"/>
          </w:tcPr>
          <w:p>
            <w:r>
              <w:rPr>
                <w:b w:val="0"/>
                <w:sz w:val="15"/>
              </w:rPr>
              <w:t>N/A</w:t>
            </w:r>
          </w:p>
        </w:tc>
        <w:tc>
          <w:tcPr>
            <w:tcW w:w="3118" w:type="dxa"/>
            <w:vAlign w:val="center"/>
          </w:tcPr>
          <w:p>
            <w:r>
              <w:rPr>
                <w:b w:val="0"/>
                <w:sz w:val="15"/>
              </w:rPr>
              <w:t>Not applicable. The study did not involve longitudinal follow-up loss, case-control matching, or a complex sampling design requiring sampling-weight adjustment.</w:t>
            </w:r>
          </w:p>
        </w:tc>
      </w:tr>
      <w:bookmarkEnd w:id="50"/>
      <w:bookmarkEnd w:id="51"/>
      <w:tr w14:paraId="436EFAC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17018778">
            <w:pPr>
              <w:tabs>
                <w:tab w:val="left" w:pos="5400"/>
              </w:tabs>
              <w:rPr>
                <w:bCs/>
                <w:sz w:val="20"/>
              </w:rPr>
            </w:pPr>
            <w:bookmarkStart w:id="52" w:name="italic29" w:colFirst="0" w:colLast="0"/>
            <w:bookmarkStart w:id="53" w:name="bold27" w:colFirst="0" w:colLast="0"/>
          </w:p>
        </w:tc>
        <w:tc>
          <w:tcPr>
            <w:tcW w:w="749" w:type="dxa"/>
            <w:vMerge w:val="continue"/>
          </w:tcPr>
          <w:p w14:paraId="62FC2C5F">
            <w:pPr>
              <w:tabs>
                <w:tab w:val="left" w:pos="5400"/>
              </w:tabs>
              <w:jc w:val="center"/>
              <w:rPr>
                <w:sz w:val="20"/>
              </w:rPr>
            </w:pPr>
          </w:p>
        </w:tc>
        <w:tc>
          <w:tcPr>
            <w:tcW w:w="8328" w:type="dxa"/>
            <w:vAlign w:val="center"/>
          </w:tcPr>
          <w:p w14:paraId="4AA1D3D6">
            <w:pPr>
              <w:tabs>
                <w:tab w:val="left" w:pos="5400"/>
              </w:tabs>
              <w:spacing w:before="0" w:after="0" w:line="240" w:lineRule="auto"/>
              <w:rPr>
                <w:sz w:val="20"/>
              </w:rPr>
            </w:pPr>
            <w:r>
              <w:rPr>
                <w:sz w:val="20"/>
              </w:rPr>
              <w:t>(</w:t>
            </w:r>
            <w:r>
              <w:rPr>
                <w:i/>
                <w:sz w:val="20"/>
                <w:u w:val="single"/>
              </w:rPr>
              <w:t>e</w:t>
            </w:r>
            <w:r>
              <w:rPr>
                <w:sz w:val="20"/>
              </w:rPr>
              <w:t>) Describe any sensitivity analyses</w:t>
            </w:r>
          </w:p>
        </w:tc>
        <w:tc>
          <w:tcPr>
            <w:tcW w:w="1276" w:type="dxa"/>
            <w:vAlign w:val="center"/>
          </w:tcPr>
          <w:p>
            <w:r>
              <w:rPr>
                <w:b w:val="0"/>
                <w:sz w:val="15"/>
              </w:rPr>
              <w:t>3; 9; 11–12</w:t>
            </w:r>
          </w:p>
        </w:tc>
        <w:tc>
          <w:tcPr>
            <w:tcW w:w="3118" w:type="dxa"/>
            <w:vAlign w:val="center"/>
          </w:tcPr>
          <w:p>
            <w:r>
              <w:rPr>
                <w:b w:val="0"/>
                <w:sz w:val="15"/>
              </w:rPr>
              <w:t>A prespecified sensitivity analysis excluded patients with overestimation in any vessel. Section 3.9 reports that 518 patients were excluded, leaving 155 patients (113 with underestimation), and the continuous RCS analysis was repeated; results are presented in Fig. 8 and Supplementary Figs. 1–2.</w:t>
            </w:r>
          </w:p>
        </w:tc>
      </w:tr>
      <w:bookmarkEnd w:id="52"/>
      <w:bookmarkEnd w:id="53"/>
      <w:tr w14:paraId="2C7C0EB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4992" w:type="dxa"/>
            <w:gridSpan w:val="5"/>
            <w:vAlign w:val="center"/>
          </w:tcPr>
          <w:p w14:paraId="62589154">
            <w:pPr>
              <w:pStyle w:val="168"/>
              <w:tabs>
                <w:tab w:val="left" w:pos="5400"/>
              </w:tabs>
              <w:spacing w:before="0" w:after="0" w:line="240" w:lineRule="auto"/>
              <w:rPr>
                <w:sz w:val="20"/>
              </w:rPr>
            </w:pPr>
            <w:r>
              <w:rPr>
                <w:sz w:val="20"/>
              </w:rPr>
              <w:t>Results</w:t>
            </w:r>
          </w:p>
        </w:tc>
      </w:tr>
      <w:tr w14:paraId="6295325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restart"/>
            <w:vAlign w:val="center"/>
          </w:tcPr>
          <w:p w14:paraId="27CA5E5F">
            <w:pPr>
              <w:tabs>
                <w:tab w:val="left" w:pos="5400"/>
              </w:tabs>
              <w:spacing w:before="0" w:after="0" w:line="240" w:lineRule="auto"/>
              <w:rPr>
                <w:bCs/>
                <w:sz w:val="20"/>
              </w:rPr>
            </w:pPr>
            <w:bookmarkStart w:id="54" w:name="italic31"/>
            <w:bookmarkStart w:id="55" w:name="bold29"/>
            <w:r>
              <w:rPr>
                <w:bCs/>
                <w:sz w:val="20"/>
              </w:rPr>
              <w:t>Participants</w:t>
            </w:r>
            <w:bookmarkEnd w:id="54"/>
            <w:bookmarkEnd w:id="55"/>
          </w:p>
        </w:tc>
        <w:tc>
          <w:tcPr>
            <w:tcW w:w="749" w:type="dxa"/>
            <w:vMerge w:val="restart"/>
            <w:vAlign w:val="center"/>
          </w:tcPr>
          <w:p w14:paraId="15EC9DDB">
            <w:pPr>
              <w:tabs>
                <w:tab w:val="left" w:pos="5400"/>
              </w:tabs>
              <w:spacing w:before="0" w:after="0" w:line="240" w:lineRule="auto"/>
              <w:jc w:val="center"/>
              <w:rPr>
                <w:sz w:val="20"/>
              </w:rPr>
            </w:pPr>
            <w:r>
              <w:rPr>
                <w:sz w:val="20"/>
              </w:rPr>
              <w:t>13</w:t>
            </w:r>
            <w:bookmarkStart w:id="56" w:name="bold30"/>
            <w:r>
              <w:rPr>
                <w:bCs/>
                <w:sz w:val="20"/>
              </w:rPr>
              <w:t>*</w:t>
            </w:r>
            <w:bookmarkEnd w:id="56"/>
          </w:p>
        </w:tc>
        <w:tc>
          <w:tcPr>
            <w:tcW w:w="8328" w:type="dxa"/>
            <w:vAlign w:val="center"/>
          </w:tcPr>
          <w:p w14:paraId="7F104D3E">
            <w:pPr>
              <w:tabs>
                <w:tab w:val="left" w:pos="5400"/>
              </w:tabs>
              <w:spacing w:before="0" w:after="0" w:line="240" w:lineRule="auto"/>
              <w:rPr>
                <w:sz w:val="20"/>
              </w:rPr>
            </w:pPr>
            <w:r>
              <w:rPr>
                <w:sz w:val="20"/>
              </w:rPr>
              <w:t>(a) Report numbers of individuals at each stage of study—eg numbers potentially eligible, examined for eligibility, confirmed eligible, included in the study, completing follow-up, and analysed</w:t>
            </w:r>
          </w:p>
        </w:tc>
        <w:tc>
          <w:tcPr>
            <w:tcW w:w="1276" w:type="dxa"/>
            <w:vAlign w:val="center"/>
          </w:tcPr>
          <w:p>
            <w:r>
              <w:rPr>
                <w:b w:val="0"/>
                <w:sz w:val="15"/>
              </w:rPr>
              <w:t>2–3</w:t>
            </w:r>
          </w:p>
        </w:tc>
        <w:tc>
          <w:tcPr>
            <w:tcW w:w="3118" w:type="dxa"/>
            <w:vAlign w:val="center"/>
          </w:tcPr>
          <w:p>
            <w:r>
              <w:rPr>
                <w:b w:val="0"/>
                <w:sz w:val="15"/>
              </w:rPr>
              <w:t>A total of 920 patients were initially screened and 673 were included in the final analytical cohort, yielding 2692 vessel observations. Fig. 1 on page 3 displays cohort selection, exclusions, the final cohort, outcome definition, CAC assessment, and analytical workflow.</w:t>
            </w:r>
          </w:p>
        </w:tc>
      </w:tr>
      <w:tr w14:paraId="4030B4C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21C8C569">
            <w:pPr>
              <w:tabs>
                <w:tab w:val="left" w:pos="5400"/>
              </w:tabs>
              <w:rPr>
                <w:bCs/>
                <w:sz w:val="20"/>
              </w:rPr>
            </w:pPr>
            <w:bookmarkStart w:id="57" w:name="italic32" w:colFirst="0" w:colLast="0"/>
            <w:bookmarkStart w:id="58" w:name="bold31" w:colFirst="0" w:colLast="0"/>
          </w:p>
        </w:tc>
        <w:tc>
          <w:tcPr>
            <w:tcW w:w="749" w:type="dxa"/>
            <w:vMerge w:val="continue"/>
          </w:tcPr>
          <w:p w14:paraId="2C3869B9">
            <w:pPr>
              <w:tabs>
                <w:tab w:val="left" w:pos="5400"/>
              </w:tabs>
              <w:jc w:val="center"/>
              <w:rPr>
                <w:sz w:val="20"/>
              </w:rPr>
            </w:pPr>
          </w:p>
        </w:tc>
        <w:tc>
          <w:tcPr>
            <w:tcW w:w="8328" w:type="dxa"/>
            <w:vAlign w:val="center"/>
          </w:tcPr>
          <w:p w14:paraId="2DD589FE">
            <w:pPr>
              <w:tabs>
                <w:tab w:val="left" w:pos="5400"/>
              </w:tabs>
              <w:spacing w:before="0" w:after="0" w:line="240" w:lineRule="auto"/>
              <w:rPr>
                <w:sz w:val="20"/>
              </w:rPr>
            </w:pPr>
            <w:r>
              <w:rPr>
                <w:sz w:val="20"/>
              </w:rPr>
              <w:t>(b) Give reasons for non-participation at each stage</w:t>
            </w:r>
          </w:p>
        </w:tc>
        <w:tc>
          <w:tcPr>
            <w:tcW w:w="1276" w:type="dxa"/>
            <w:vAlign w:val="center"/>
          </w:tcPr>
          <w:p>
            <w:r>
              <w:rPr>
                <w:b w:val="0"/>
                <w:sz w:val="15"/>
              </w:rPr>
              <w:t>3</w:t>
            </w:r>
          </w:p>
        </w:tc>
        <w:tc>
          <w:tcPr>
            <w:tcW w:w="3118" w:type="dxa"/>
            <w:vAlign w:val="center"/>
          </w:tcPr>
          <w:p>
            <w:r>
              <w:rPr>
                <w:b w:val="0"/>
                <w:sz w:val="15"/>
              </w:rPr>
              <w:t>Fig. 1 reports 247 exclusions: interval &gt;3 months between CCTA and ICA (n=53), missing imaging data or severe motion artifacts (n=92), and other prespecified exclusion criteria (n=102).</w:t>
            </w:r>
          </w:p>
        </w:tc>
      </w:tr>
      <w:bookmarkEnd w:id="57"/>
      <w:bookmarkEnd w:id="58"/>
      <w:tr w14:paraId="454DA28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578517EE">
            <w:pPr>
              <w:tabs>
                <w:tab w:val="left" w:pos="5400"/>
              </w:tabs>
              <w:rPr>
                <w:bCs/>
                <w:sz w:val="20"/>
              </w:rPr>
            </w:pPr>
            <w:bookmarkStart w:id="59" w:name="italic33" w:colFirst="0" w:colLast="0"/>
            <w:bookmarkStart w:id="60" w:name="bold32" w:colFirst="0" w:colLast="0"/>
          </w:p>
        </w:tc>
        <w:tc>
          <w:tcPr>
            <w:tcW w:w="749" w:type="dxa"/>
            <w:vMerge w:val="continue"/>
          </w:tcPr>
          <w:p w14:paraId="1EECFD13">
            <w:pPr>
              <w:tabs>
                <w:tab w:val="left" w:pos="5400"/>
              </w:tabs>
              <w:jc w:val="center"/>
              <w:rPr>
                <w:sz w:val="20"/>
              </w:rPr>
            </w:pPr>
          </w:p>
        </w:tc>
        <w:tc>
          <w:tcPr>
            <w:tcW w:w="8328" w:type="dxa"/>
            <w:vAlign w:val="center"/>
          </w:tcPr>
          <w:p w14:paraId="13A8BA92">
            <w:pPr>
              <w:tabs>
                <w:tab w:val="left" w:pos="5400"/>
              </w:tabs>
              <w:spacing w:before="0" w:after="0" w:line="240" w:lineRule="auto"/>
              <w:rPr>
                <w:sz w:val="20"/>
              </w:rPr>
            </w:pPr>
            <w:bookmarkStart w:id="61" w:name="OLE_LINK4"/>
            <w:r>
              <w:rPr>
                <w:sz w:val="20"/>
              </w:rPr>
              <w:t>(c) Consider use of a flow diagram</w:t>
            </w:r>
            <w:bookmarkEnd w:id="61"/>
          </w:p>
        </w:tc>
        <w:tc>
          <w:tcPr>
            <w:tcW w:w="1276" w:type="dxa"/>
            <w:vAlign w:val="center"/>
          </w:tcPr>
          <w:p>
            <w:r>
              <w:rPr>
                <w:b w:val="0"/>
                <w:sz w:val="15"/>
              </w:rPr>
              <w:t>3</w:t>
            </w:r>
          </w:p>
        </w:tc>
        <w:tc>
          <w:tcPr>
            <w:tcW w:w="3118" w:type="dxa"/>
            <w:vAlign w:val="center"/>
          </w:tcPr>
          <w:p>
            <w:r>
              <w:rPr>
                <w:b w:val="0"/>
                <w:sz w:val="15"/>
              </w:rPr>
              <w:t>Fig. 1 is the participant-flow diagram and summarizes screening, exclusions, the final analytical cohort, outcome definition, CAC assessment, and planned statistical analyses.</w:t>
            </w:r>
          </w:p>
        </w:tc>
      </w:tr>
      <w:bookmarkEnd w:id="59"/>
      <w:bookmarkEnd w:id="60"/>
      <w:tr w14:paraId="5D7586A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restart"/>
            <w:vAlign w:val="center"/>
          </w:tcPr>
          <w:p w14:paraId="591EED59">
            <w:pPr>
              <w:tabs>
                <w:tab w:val="left" w:pos="5400"/>
              </w:tabs>
              <w:spacing w:before="0" w:after="0" w:line="240" w:lineRule="auto"/>
              <w:rPr>
                <w:bCs/>
                <w:sz w:val="20"/>
              </w:rPr>
            </w:pPr>
            <w:bookmarkStart w:id="62" w:name="italic34"/>
            <w:bookmarkStart w:id="63" w:name="bold33"/>
            <w:r>
              <w:rPr>
                <w:bCs/>
                <w:sz w:val="20"/>
              </w:rPr>
              <w:t xml:space="preserve">Descriptive </w:t>
            </w:r>
            <w:bookmarkEnd w:id="62"/>
            <w:bookmarkEnd w:id="63"/>
            <w:bookmarkStart w:id="64" w:name="bold34"/>
            <w:bookmarkStart w:id="65" w:name="italic35"/>
            <w:r>
              <w:rPr>
                <w:bCs/>
                <w:sz w:val="20"/>
              </w:rPr>
              <w:t>data</w:t>
            </w:r>
            <w:bookmarkEnd w:id="64"/>
            <w:bookmarkEnd w:id="65"/>
          </w:p>
        </w:tc>
        <w:tc>
          <w:tcPr>
            <w:tcW w:w="749" w:type="dxa"/>
            <w:vMerge w:val="restart"/>
            <w:vAlign w:val="center"/>
          </w:tcPr>
          <w:p w14:paraId="22E5FF17">
            <w:pPr>
              <w:tabs>
                <w:tab w:val="left" w:pos="5400"/>
              </w:tabs>
              <w:spacing w:before="0" w:after="0" w:line="240" w:lineRule="auto"/>
              <w:jc w:val="center"/>
              <w:rPr>
                <w:sz w:val="20"/>
              </w:rPr>
            </w:pPr>
            <w:r>
              <w:rPr>
                <w:sz w:val="20"/>
              </w:rPr>
              <w:t>14</w:t>
            </w:r>
            <w:bookmarkStart w:id="66" w:name="bold35"/>
            <w:r>
              <w:rPr>
                <w:bCs/>
                <w:sz w:val="20"/>
              </w:rPr>
              <w:t>*</w:t>
            </w:r>
            <w:bookmarkEnd w:id="66"/>
          </w:p>
        </w:tc>
        <w:tc>
          <w:tcPr>
            <w:tcW w:w="8328" w:type="dxa"/>
            <w:vAlign w:val="center"/>
          </w:tcPr>
          <w:p w14:paraId="18C1E735">
            <w:pPr>
              <w:tabs>
                <w:tab w:val="left" w:pos="5400"/>
              </w:tabs>
              <w:spacing w:before="0" w:after="0" w:line="240" w:lineRule="auto"/>
              <w:rPr>
                <w:sz w:val="20"/>
              </w:rPr>
            </w:pPr>
            <w:r>
              <w:rPr>
                <w:sz w:val="20"/>
              </w:rPr>
              <w:t>(a) Give characteristics of study participants (eg demographic, clinical, social) and information on exposures and potential confounders</w:t>
            </w:r>
          </w:p>
        </w:tc>
        <w:tc>
          <w:tcPr>
            <w:tcW w:w="1276" w:type="dxa"/>
            <w:vAlign w:val="center"/>
          </w:tcPr>
          <w:p>
            <w:r>
              <w:rPr>
                <w:b w:val="0"/>
                <w:sz w:val="15"/>
              </w:rPr>
              <w:t>4–5</w:t>
            </w:r>
          </w:p>
        </w:tc>
        <w:tc>
          <w:tcPr>
            <w:tcW w:w="3118" w:type="dxa"/>
            <w:vAlign w:val="center"/>
          </w:tcPr>
          <w:p>
            <w:r>
              <w:rPr>
                <w:b w:val="0"/>
                <w:sz w:val="15"/>
              </w:rPr>
              <w:t>Section 3.2 summarizes baseline characteristics, and Table 1 on page 5 presents non-underestimation (n=284) and underestimation (n=389) groups, including demographic variables, vital signs, laboratory measures, comorbidities, total CAC score, and CAC categories.</w:t>
            </w:r>
          </w:p>
        </w:tc>
      </w:tr>
      <w:tr w14:paraId="5E20311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489BE145">
            <w:pPr>
              <w:tabs>
                <w:tab w:val="left" w:pos="5400"/>
              </w:tabs>
              <w:rPr>
                <w:bCs/>
                <w:sz w:val="20"/>
              </w:rPr>
            </w:pPr>
            <w:bookmarkStart w:id="67" w:name="italic36" w:colFirst="0" w:colLast="0"/>
            <w:bookmarkStart w:id="68" w:name="bold36" w:colFirst="0" w:colLast="0"/>
          </w:p>
        </w:tc>
        <w:tc>
          <w:tcPr>
            <w:tcW w:w="749" w:type="dxa"/>
            <w:vMerge w:val="continue"/>
          </w:tcPr>
          <w:p w14:paraId="51E3232B">
            <w:pPr>
              <w:tabs>
                <w:tab w:val="left" w:pos="5400"/>
              </w:tabs>
              <w:jc w:val="center"/>
              <w:rPr>
                <w:sz w:val="20"/>
              </w:rPr>
            </w:pPr>
          </w:p>
        </w:tc>
        <w:tc>
          <w:tcPr>
            <w:tcW w:w="8328" w:type="dxa"/>
            <w:vAlign w:val="center"/>
          </w:tcPr>
          <w:p w14:paraId="0804C96C">
            <w:pPr>
              <w:tabs>
                <w:tab w:val="left" w:pos="5400"/>
              </w:tabs>
              <w:spacing w:before="0" w:after="0" w:line="240" w:lineRule="auto"/>
              <w:rPr>
                <w:sz w:val="20"/>
              </w:rPr>
            </w:pPr>
            <w:r>
              <w:rPr>
                <w:sz w:val="20"/>
              </w:rPr>
              <w:t>(b) Indicate number of participants with missing data for each variable of interest</w:t>
            </w:r>
          </w:p>
        </w:tc>
        <w:tc>
          <w:tcPr>
            <w:tcW w:w="1276" w:type="dxa"/>
            <w:vAlign w:val="center"/>
          </w:tcPr>
          <w:p>
            <w:r>
              <w:rPr>
                <w:b w:val="0"/>
                <w:sz w:val="15"/>
              </w:rPr>
              <w:t>3</w:t>
            </w:r>
          </w:p>
        </w:tc>
        <w:tc>
          <w:tcPr>
            <w:tcW w:w="3118" w:type="dxa"/>
            <w:vAlign w:val="center"/>
          </w:tcPr>
          <w:p>
            <w:r>
              <w:rPr>
                <w:b w:val="0"/>
                <w:sz w:val="15"/>
              </w:rPr>
              <w:t>The manuscript states that missing data were minimal (&lt;1%) and were handled by complete case analysis; the number missing for each individual variable is not reported separately.</w:t>
            </w:r>
          </w:p>
        </w:tc>
      </w:tr>
      <w:bookmarkEnd w:id="67"/>
      <w:bookmarkEnd w:id="68"/>
      <w:tr w14:paraId="068FB78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0463D779">
            <w:pPr>
              <w:tabs>
                <w:tab w:val="left" w:pos="5400"/>
              </w:tabs>
              <w:rPr>
                <w:bCs/>
                <w:sz w:val="20"/>
              </w:rPr>
            </w:pPr>
            <w:bookmarkStart w:id="69" w:name="bold37" w:colFirst="0" w:colLast="0"/>
            <w:bookmarkStart w:id="70" w:name="italic37" w:colFirst="0" w:colLast="0"/>
          </w:p>
        </w:tc>
        <w:tc>
          <w:tcPr>
            <w:tcW w:w="749" w:type="dxa"/>
            <w:vMerge w:val="continue"/>
          </w:tcPr>
          <w:p w14:paraId="4449576D">
            <w:pPr>
              <w:tabs>
                <w:tab w:val="left" w:pos="5400"/>
              </w:tabs>
              <w:jc w:val="center"/>
              <w:rPr>
                <w:sz w:val="20"/>
              </w:rPr>
            </w:pPr>
          </w:p>
        </w:tc>
        <w:tc>
          <w:tcPr>
            <w:tcW w:w="8328" w:type="dxa"/>
            <w:vAlign w:val="center"/>
          </w:tcPr>
          <w:p w14:paraId="65D564D5">
            <w:pPr>
              <w:tabs>
                <w:tab w:val="left" w:pos="5400"/>
              </w:tabs>
              <w:spacing w:before="0" w:after="0" w:line="240" w:lineRule="auto"/>
              <w:rPr>
                <w:sz w:val="20"/>
              </w:rPr>
            </w:pPr>
            <w:r>
              <w:rPr>
                <w:sz w:val="20"/>
              </w:rPr>
              <w:t xml:space="preserve">(c) </w:t>
            </w:r>
            <w:r>
              <w:rPr>
                <w:i/>
                <w:sz w:val="20"/>
              </w:rPr>
              <w:t>Cohort study</w:t>
            </w:r>
            <w:r>
              <w:rPr>
                <w:sz w:val="20"/>
              </w:rPr>
              <w:t>—Summarise follow-up time (eg, average and total amount)</w:t>
            </w:r>
          </w:p>
        </w:tc>
        <w:tc>
          <w:tcPr>
            <w:tcW w:w="1276" w:type="dxa"/>
            <w:vAlign w:val="center"/>
          </w:tcPr>
          <w:p>
            <w:r>
              <w:rPr>
                <w:b w:val="0"/>
                <w:sz w:val="15"/>
              </w:rPr>
              <w:t>N/A</w:t>
            </w:r>
          </w:p>
        </w:tc>
        <w:tc>
          <w:tcPr>
            <w:tcW w:w="3118" w:type="dxa"/>
            <w:vAlign w:val="center"/>
          </w:tcPr>
          <w:p>
            <w:r>
              <w:rPr>
                <w:b w:val="0"/>
                <w:sz w:val="15"/>
              </w:rPr>
              <w:t>Not applicable; this diagnostic-comparison study did not include a longitudinal follow-up period to summarize.</w:t>
            </w:r>
          </w:p>
        </w:tc>
      </w:tr>
      <w:bookmarkEnd w:id="69"/>
      <w:bookmarkEnd w:id="70"/>
      <w:tr w14:paraId="527BD6B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Height w:val="295" w:hRule="atLeast"/>
        </w:trPr>
        <w:tc>
          <w:tcPr>
            <w:tcW w:w="1521" w:type="dxa"/>
            <w:vMerge w:val="restart"/>
            <w:vAlign w:val="center"/>
          </w:tcPr>
          <w:p w14:paraId="0DB891A9">
            <w:pPr>
              <w:tabs>
                <w:tab w:val="left" w:pos="5400"/>
              </w:tabs>
              <w:spacing w:before="0" w:after="0" w:line="240" w:lineRule="auto"/>
              <w:rPr>
                <w:bCs/>
                <w:sz w:val="20"/>
              </w:rPr>
            </w:pPr>
            <w:bookmarkStart w:id="71" w:name="bold38" w:colFirst="0" w:colLast="0"/>
            <w:bookmarkStart w:id="72" w:name="italic38" w:colFirst="0" w:colLast="0"/>
            <w:r>
              <w:rPr>
                <w:bCs/>
                <w:sz w:val="20"/>
              </w:rPr>
              <w:t>Outcome data</w:t>
            </w:r>
          </w:p>
        </w:tc>
        <w:tc>
          <w:tcPr>
            <w:tcW w:w="749" w:type="dxa"/>
            <w:vMerge w:val="restart"/>
            <w:vAlign w:val="center"/>
          </w:tcPr>
          <w:p w14:paraId="6E3DDE5C">
            <w:pPr>
              <w:tabs>
                <w:tab w:val="left" w:pos="5400"/>
              </w:tabs>
              <w:spacing w:before="0" w:after="0" w:line="240" w:lineRule="auto"/>
              <w:jc w:val="center"/>
              <w:rPr>
                <w:sz w:val="20"/>
              </w:rPr>
            </w:pPr>
            <w:r>
              <w:rPr>
                <w:sz w:val="20"/>
              </w:rPr>
              <w:t>15</w:t>
            </w:r>
            <w:bookmarkStart w:id="73" w:name="bold39"/>
            <w:r>
              <w:rPr>
                <w:bCs/>
                <w:sz w:val="20"/>
              </w:rPr>
              <w:t>*</w:t>
            </w:r>
            <w:bookmarkEnd w:id="73"/>
          </w:p>
        </w:tc>
        <w:tc>
          <w:tcPr>
            <w:tcW w:w="8328" w:type="dxa"/>
            <w:vAlign w:val="center"/>
          </w:tcPr>
          <w:p w14:paraId="4D9E48DA">
            <w:pPr>
              <w:tabs>
                <w:tab w:val="left" w:pos="5400"/>
              </w:tabs>
              <w:spacing w:before="0" w:after="0" w:line="240" w:lineRule="auto"/>
              <w:rPr>
                <w:sz w:val="20"/>
              </w:rPr>
            </w:pPr>
            <w:r>
              <w:rPr>
                <w:i/>
                <w:sz w:val="20"/>
              </w:rPr>
              <w:t>Cohort study</w:t>
            </w:r>
            <w:r>
              <w:rPr>
                <w:sz w:val="20"/>
              </w:rPr>
              <w:t>—Report numbers of outcome events or summary measures over time</w:t>
            </w:r>
          </w:p>
        </w:tc>
        <w:tc>
          <w:tcPr>
            <w:tcW w:w="1276" w:type="dxa"/>
            <w:vAlign w:val="center"/>
          </w:tcPr>
          <w:p>
            <w:r>
              <w:rPr>
                <w:b w:val="0"/>
                <w:sz w:val="15"/>
              </w:rPr>
              <w:t>N/A</w:t>
            </w:r>
          </w:p>
        </w:tc>
        <w:tc>
          <w:tcPr>
            <w:tcW w:w="3118" w:type="dxa"/>
            <w:vAlign w:val="center"/>
          </w:tcPr>
          <w:p>
            <w:r>
              <w:rPr>
                <w:b w:val="0"/>
                <w:sz w:val="15"/>
              </w:rPr>
              <w:t>Not applicable; outcomes were diagnostic discrepancies assessed from paired CCTA and ICA examinations rather than events accumulated over longitudinal follow-up.</w:t>
            </w:r>
          </w:p>
        </w:tc>
      </w:tr>
      <w:tr w14:paraId="71D0484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Height w:val="294" w:hRule="atLeast"/>
        </w:trPr>
        <w:tc>
          <w:tcPr>
            <w:tcW w:w="1521" w:type="dxa"/>
            <w:vMerge w:val="continue"/>
          </w:tcPr>
          <w:p w14:paraId="734AAB94">
            <w:pPr>
              <w:tabs>
                <w:tab w:val="left" w:pos="5400"/>
              </w:tabs>
              <w:rPr>
                <w:bCs/>
                <w:sz w:val="20"/>
              </w:rPr>
            </w:pPr>
          </w:p>
        </w:tc>
        <w:tc>
          <w:tcPr>
            <w:tcW w:w="749" w:type="dxa"/>
            <w:vMerge w:val="continue"/>
          </w:tcPr>
          <w:p w14:paraId="5EA0670B">
            <w:pPr>
              <w:tabs>
                <w:tab w:val="left" w:pos="5400"/>
              </w:tabs>
              <w:jc w:val="center"/>
              <w:rPr>
                <w:sz w:val="20"/>
              </w:rPr>
            </w:pPr>
          </w:p>
        </w:tc>
        <w:tc>
          <w:tcPr>
            <w:tcW w:w="8328" w:type="dxa"/>
            <w:vAlign w:val="center"/>
          </w:tcPr>
          <w:p w14:paraId="04877C4F">
            <w:pPr>
              <w:tabs>
                <w:tab w:val="left" w:pos="5400"/>
              </w:tabs>
              <w:spacing w:before="0" w:after="0" w:line="240" w:lineRule="auto"/>
              <w:rPr>
                <w:i/>
                <w:sz w:val="20"/>
              </w:rPr>
            </w:pPr>
            <w:r>
              <w:rPr>
                <w:i/>
                <w:sz w:val="20"/>
              </w:rPr>
              <w:t>Case-control study—</w:t>
            </w:r>
            <w:r>
              <w:rPr>
                <w:sz w:val="20"/>
              </w:rPr>
              <w:t>Report numbers in each exposure category, or summary measures of exposure</w:t>
            </w:r>
          </w:p>
        </w:tc>
        <w:tc>
          <w:tcPr>
            <w:tcW w:w="1276" w:type="dxa"/>
            <w:vAlign w:val="center"/>
          </w:tcPr>
          <w:p>
            <w:r>
              <w:rPr>
                <w:b w:val="0"/>
                <w:sz w:val="15"/>
              </w:rPr>
              <w:t>N/A</w:t>
            </w:r>
          </w:p>
        </w:tc>
        <w:tc>
          <w:tcPr>
            <w:tcW w:w="3118" w:type="dxa"/>
            <w:vAlign w:val="center"/>
          </w:tcPr>
          <w:p>
            <w:r>
              <w:rPr>
                <w:b w:val="0"/>
                <w:sz w:val="15"/>
              </w:rPr>
              <w:t>Not applicable; this was not a case-control study.</w:t>
            </w:r>
          </w:p>
        </w:tc>
      </w:tr>
      <w:tr w14:paraId="07D65D5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Height w:val="294" w:hRule="atLeast"/>
        </w:trPr>
        <w:tc>
          <w:tcPr>
            <w:tcW w:w="1521" w:type="dxa"/>
            <w:vMerge w:val="continue"/>
          </w:tcPr>
          <w:p w14:paraId="6BF253E9">
            <w:pPr>
              <w:tabs>
                <w:tab w:val="left" w:pos="5400"/>
              </w:tabs>
              <w:rPr>
                <w:bCs/>
                <w:sz w:val="20"/>
              </w:rPr>
            </w:pPr>
          </w:p>
        </w:tc>
        <w:tc>
          <w:tcPr>
            <w:tcW w:w="749" w:type="dxa"/>
            <w:vMerge w:val="continue"/>
          </w:tcPr>
          <w:p w14:paraId="1344DA4D">
            <w:pPr>
              <w:tabs>
                <w:tab w:val="left" w:pos="5400"/>
              </w:tabs>
              <w:jc w:val="center"/>
              <w:rPr>
                <w:sz w:val="20"/>
              </w:rPr>
            </w:pPr>
          </w:p>
        </w:tc>
        <w:tc>
          <w:tcPr>
            <w:tcW w:w="8328" w:type="dxa"/>
            <w:vAlign w:val="center"/>
          </w:tcPr>
          <w:p w14:paraId="39B8DA96">
            <w:pPr>
              <w:tabs>
                <w:tab w:val="left" w:pos="5400"/>
              </w:tabs>
              <w:spacing w:before="0" w:after="0" w:line="240" w:lineRule="auto"/>
              <w:rPr>
                <w:i/>
                <w:sz w:val="20"/>
              </w:rPr>
            </w:pPr>
            <w:r>
              <w:rPr>
                <w:i/>
                <w:sz w:val="20"/>
              </w:rPr>
              <w:t>Cross-sectional study—</w:t>
            </w:r>
            <w:r>
              <w:rPr>
                <w:sz w:val="20"/>
              </w:rPr>
              <w:t>Report numbers of outcome events or summary measures</w:t>
            </w:r>
          </w:p>
        </w:tc>
        <w:tc>
          <w:tcPr>
            <w:tcW w:w="1276" w:type="dxa"/>
            <w:vAlign w:val="center"/>
          </w:tcPr>
          <w:p>
            <w:r>
              <w:rPr>
                <w:b w:val="0"/>
                <w:sz w:val="15"/>
              </w:rPr>
              <w:t>4–6</w:t>
            </w:r>
          </w:p>
        </w:tc>
        <w:tc>
          <w:tcPr>
            <w:tcW w:w="3118" w:type="dxa"/>
            <w:vAlign w:val="center"/>
          </w:tcPr>
          <w:p>
            <w:r>
              <w:rPr>
                <w:b w:val="0"/>
                <w:sz w:val="15"/>
              </w:rPr>
              <w:t>Any-vessel CCTA underestimation occurred in 389/673 patients (57.8%). Vessel-specific rates were LM 3.0%, LAD 27.9%, LCX 29.3%, and RCA 22.4%. Tables 2 and 3 report outcome counts and rates across patient-level and vessel-level CAC categories.</w:t>
            </w:r>
          </w:p>
        </w:tc>
      </w:tr>
      <w:bookmarkEnd w:id="71"/>
      <w:bookmarkEnd w:id="72"/>
      <w:tr w14:paraId="64B0401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restart"/>
            <w:vAlign w:val="center"/>
          </w:tcPr>
          <w:p w14:paraId="1E00565B">
            <w:pPr>
              <w:tabs>
                <w:tab w:val="left" w:pos="5400"/>
              </w:tabs>
              <w:spacing w:before="0" w:after="0" w:line="240" w:lineRule="auto"/>
              <w:rPr>
                <w:bCs/>
                <w:sz w:val="20"/>
              </w:rPr>
            </w:pPr>
            <w:bookmarkStart w:id="74" w:name="italic40" w:colFirst="0" w:colLast="0"/>
            <w:bookmarkStart w:id="75" w:name="bold41" w:colFirst="0" w:colLast="0"/>
            <w:r>
              <w:rPr>
                <w:bCs/>
                <w:sz w:val="20"/>
              </w:rPr>
              <w:t>Main results</w:t>
            </w:r>
          </w:p>
        </w:tc>
        <w:tc>
          <w:tcPr>
            <w:tcW w:w="749" w:type="dxa"/>
            <w:vMerge w:val="restart"/>
            <w:vAlign w:val="center"/>
          </w:tcPr>
          <w:p w14:paraId="2B84B4A8">
            <w:pPr>
              <w:tabs>
                <w:tab w:val="left" w:pos="5400"/>
              </w:tabs>
              <w:spacing w:before="0" w:after="0" w:line="240" w:lineRule="auto"/>
              <w:jc w:val="center"/>
              <w:rPr>
                <w:sz w:val="20"/>
              </w:rPr>
            </w:pPr>
            <w:r>
              <w:rPr>
                <w:sz w:val="20"/>
              </w:rPr>
              <w:t>16</w:t>
            </w:r>
          </w:p>
        </w:tc>
        <w:tc>
          <w:tcPr>
            <w:tcW w:w="8328" w:type="dxa"/>
            <w:vAlign w:val="center"/>
          </w:tcPr>
          <w:p w14:paraId="50386AD9">
            <w:pPr>
              <w:tabs>
                <w:tab w:val="left" w:pos="5400"/>
              </w:tabs>
              <w:spacing w:before="0" w:after="0" w:line="240" w:lineRule="auto"/>
              <w:rPr>
                <w:sz w:val="20"/>
              </w:rPr>
            </w:pPr>
            <w:r>
              <w:rPr>
                <w:sz w:val="20"/>
              </w:rPr>
              <w:t>(</w:t>
            </w:r>
            <w:r>
              <w:rPr>
                <w:i/>
                <w:sz w:val="20"/>
              </w:rPr>
              <w:t>a</w:t>
            </w:r>
            <w:r>
              <w:rPr>
                <w:sz w:val="20"/>
              </w:rPr>
              <w:t>) Give unadjusted estimates and, if applicable, confounder-adjusted estimates and their precision (eg, 95% confidence interval). Make clear which confounders were adjusted for and why they were included</w:t>
            </w:r>
          </w:p>
        </w:tc>
        <w:tc>
          <w:tcPr>
            <w:tcW w:w="1276" w:type="dxa"/>
            <w:vAlign w:val="center"/>
          </w:tcPr>
          <w:p>
            <w:r>
              <w:rPr>
                <w:b w:val="0"/>
                <w:sz w:val="15"/>
              </w:rPr>
              <w:t>5–10</w:t>
            </w:r>
          </w:p>
        </w:tc>
        <w:tc>
          <w:tcPr>
            <w:tcW w:w="3118" w:type="dxa"/>
            <w:vAlign w:val="center"/>
          </w:tcPr>
          <w:p>
            <w:r>
              <w:rPr>
                <w:b w:val="0"/>
                <w:sz w:val="15"/>
              </w:rPr>
              <w:t>Patient-level RCS findings are reported in Section 3.5 and Fig. 3, including adjusted estimates and 95% CIs. Vessel-level RCS and GEE results are reported in Sections 3.6–3.7 and Figs. 4–6. In the fully adjusted vessel-level GEE model, patient-level CAC ≥400 versus 0 was associated with OR 2.01 (95% CI 1.20–3.36). Fully adjusted covariates are listed in Section 2.6.</w:t>
            </w:r>
          </w:p>
        </w:tc>
      </w:tr>
      <w:bookmarkEnd w:id="74"/>
      <w:bookmarkEnd w:id="75"/>
      <w:tr w14:paraId="3FDED31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7062B489">
            <w:pPr>
              <w:tabs>
                <w:tab w:val="left" w:pos="5400"/>
              </w:tabs>
              <w:rPr>
                <w:bCs/>
                <w:sz w:val="20"/>
              </w:rPr>
            </w:pPr>
            <w:bookmarkStart w:id="76" w:name="bold42" w:colFirst="0" w:colLast="0"/>
            <w:bookmarkStart w:id="77" w:name="italic41" w:colFirst="0" w:colLast="0"/>
          </w:p>
        </w:tc>
        <w:tc>
          <w:tcPr>
            <w:tcW w:w="749" w:type="dxa"/>
            <w:vMerge w:val="continue"/>
          </w:tcPr>
          <w:p w14:paraId="6BA0C996">
            <w:pPr>
              <w:tabs>
                <w:tab w:val="left" w:pos="5400"/>
              </w:tabs>
              <w:jc w:val="center"/>
              <w:rPr>
                <w:sz w:val="20"/>
              </w:rPr>
            </w:pPr>
          </w:p>
        </w:tc>
        <w:tc>
          <w:tcPr>
            <w:tcW w:w="8328" w:type="dxa"/>
            <w:vAlign w:val="center"/>
          </w:tcPr>
          <w:p w14:paraId="3A65778D">
            <w:pPr>
              <w:tabs>
                <w:tab w:val="left" w:pos="5400"/>
              </w:tabs>
              <w:spacing w:before="0" w:after="0" w:line="240" w:lineRule="auto"/>
              <w:rPr>
                <w:sz w:val="20"/>
              </w:rPr>
            </w:pPr>
            <w:r>
              <w:rPr>
                <w:sz w:val="20"/>
              </w:rPr>
              <w:t>(</w:t>
            </w:r>
            <w:r>
              <w:rPr>
                <w:i/>
                <w:sz w:val="20"/>
              </w:rPr>
              <w:t>b</w:t>
            </w:r>
            <w:r>
              <w:rPr>
                <w:sz w:val="20"/>
              </w:rPr>
              <w:t>) Report category boundaries when continuous variables were categorized</w:t>
            </w:r>
          </w:p>
        </w:tc>
        <w:tc>
          <w:tcPr>
            <w:tcW w:w="1276" w:type="dxa"/>
            <w:vAlign w:val="center"/>
          </w:tcPr>
          <w:p>
            <w:r>
              <w:rPr>
                <w:b w:val="0"/>
                <w:sz w:val="15"/>
              </w:rPr>
              <w:t>3; 6</w:t>
            </w:r>
          </w:p>
        </w:tc>
        <w:tc>
          <w:tcPr>
            <w:tcW w:w="3118" w:type="dxa"/>
            <w:vAlign w:val="center"/>
          </w:tcPr>
          <w:p>
            <w:r>
              <w:rPr>
                <w:b w:val="0"/>
                <w:sz w:val="15"/>
              </w:rPr>
              <w:t>CAC categories were defined as 0, 1–99, 100–399, and ≥400. For continuous RCS analyses, the median total CAC score (301) served as the reference value; Table 2 on page 6 reports results across the four CAC categories.</w:t>
            </w:r>
          </w:p>
        </w:tc>
      </w:tr>
      <w:bookmarkEnd w:id="76"/>
      <w:bookmarkEnd w:id="77"/>
      <w:tr w14:paraId="510E781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1521" w:type="dxa"/>
            <w:vMerge w:val="continue"/>
          </w:tcPr>
          <w:p w14:paraId="3C342434">
            <w:pPr>
              <w:tabs>
                <w:tab w:val="left" w:pos="5400"/>
              </w:tabs>
              <w:rPr>
                <w:bCs/>
                <w:sz w:val="20"/>
              </w:rPr>
            </w:pPr>
            <w:bookmarkStart w:id="78" w:name="bold43" w:colFirst="0" w:colLast="0"/>
            <w:bookmarkStart w:id="79" w:name="italic42" w:colFirst="0" w:colLast="0"/>
          </w:p>
        </w:tc>
        <w:tc>
          <w:tcPr>
            <w:tcW w:w="749" w:type="dxa"/>
            <w:vMerge w:val="continue"/>
          </w:tcPr>
          <w:p w14:paraId="5CAD1619">
            <w:pPr>
              <w:tabs>
                <w:tab w:val="left" w:pos="5400"/>
              </w:tabs>
              <w:jc w:val="center"/>
              <w:rPr>
                <w:sz w:val="20"/>
              </w:rPr>
            </w:pPr>
          </w:p>
        </w:tc>
        <w:tc>
          <w:tcPr>
            <w:tcW w:w="8328" w:type="dxa"/>
            <w:vAlign w:val="center"/>
          </w:tcPr>
          <w:p w14:paraId="4E2FD6C7">
            <w:pPr>
              <w:tabs>
                <w:tab w:val="left" w:pos="5400"/>
              </w:tabs>
              <w:spacing w:before="0" w:after="0" w:line="240" w:lineRule="auto"/>
              <w:rPr>
                <w:sz w:val="20"/>
              </w:rPr>
            </w:pPr>
            <w:r>
              <w:rPr>
                <w:sz w:val="20"/>
              </w:rPr>
              <w:t>(</w:t>
            </w:r>
            <w:r>
              <w:rPr>
                <w:i/>
                <w:sz w:val="20"/>
              </w:rPr>
              <w:t>c</w:t>
            </w:r>
            <w:r>
              <w:rPr>
                <w:sz w:val="20"/>
              </w:rPr>
              <w:t>) If relevant, consider translating estimates of relative risk into absolute risk for a meaningful time period</w:t>
            </w:r>
          </w:p>
        </w:tc>
        <w:tc>
          <w:tcPr>
            <w:tcW w:w="1276" w:type="dxa"/>
            <w:vAlign w:val="center"/>
          </w:tcPr>
          <w:p>
            <w:r>
              <w:rPr>
                <w:b w:val="0"/>
                <w:sz w:val="15"/>
              </w:rPr>
              <w:t>N/A</w:t>
            </w:r>
          </w:p>
        </w:tc>
        <w:tc>
          <w:tcPr>
            <w:tcW w:w="3118" w:type="dxa"/>
            <w:vAlign w:val="center"/>
          </w:tcPr>
          <w:p>
            <w:r>
              <w:rPr>
                <w:b w:val="0"/>
                <w:sz w:val="15"/>
              </w:rPr>
              <w:t>Not applicable. The outcome was diagnostic underestimation rather than a time-to-event outcome, so relative estimates were not translated into absolute risks over a follow-up period.</w:t>
            </w:r>
          </w:p>
        </w:tc>
      </w:tr>
      <w:bookmarkEnd w:id="78"/>
      <w:bookmarkEnd w:id="79"/>
      <w:tr w14:paraId="01E9B03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0" w:type="auto"/>
            <w:vAlign w:val="center"/>
          </w:tcPr>
          <w:p w14:paraId="114BB417">
            <w:pPr>
              <w:tabs>
                <w:tab w:val="left" w:pos="5400"/>
              </w:tabs>
              <w:spacing w:before="0" w:after="0" w:line="240" w:lineRule="auto"/>
              <w:rPr>
                <w:bCs/>
                <w:sz w:val="20"/>
              </w:rPr>
            </w:pPr>
            <w:r>
              <w:rPr>
                <w:bCs/>
                <w:sz w:val="20"/>
              </w:rPr>
              <w:t>Other analyses</w:t>
            </w:r>
            <w:bookmarkEnd w:id="80"/>
            <w:bookmarkEnd w:id="81"/>
          </w:p>
        </w:tc>
        <w:tc>
          <w:tcPr>
            <w:tcW w:w="0" w:type="auto"/>
            <w:vAlign w:val="center"/>
          </w:tcPr>
          <w:p w14:paraId="7E8F2516">
            <w:pPr>
              <w:tabs>
                <w:tab w:val="left" w:pos="5400"/>
              </w:tabs>
              <w:spacing w:before="0" w:after="0" w:line="240" w:lineRule="auto"/>
              <w:jc w:val="center"/>
              <w:rPr>
                <w:sz w:val="20"/>
              </w:rPr>
            </w:pPr>
            <w:r>
              <w:rPr>
                <w:sz w:val="20"/>
              </w:rPr>
              <w:t>17</w:t>
            </w:r>
          </w:p>
        </w:tc>
        <w:tc>
          <w:tcPr>
            <w:tcW w:w="8687" w:type="dxa"/>
            <w:vAlign w:val="center"/>
          </w:tcPr>
          <w:p w14:paraId="2B77CEDB">
            <w:pPr>
              <w:tabs>
                <w:tab w:val="left" w:pos="5400"/>
              </w:tabs>
              <w:spacing w:before="0" w:after="0" w:line="240" w:lineRule="auto"/>
              <w:rPr>
                <w:sz w:val="20"/>
              </w:rPr>
            </w:pPr>
            <w:r>
              <w:rPr>
                <w:sz w:val="20"/>
              </w:rPr>
              <w:t>Report other analyses done—eg analyses of subgroups and interactions, and sensitivity analyses</w:t>
            </w:r>
          </w:p>
        </w:tc>
        <w:tc>
          <w:tcPr>
            <w:tcW w:w="1265" w:type="dxa"/>
            <w:vAlign w:val="center"/>
          </w:tcPr>
          <w:p>
            <w:r>
              <w:rPr>
                <w:b w:val="0"/>
                <w:sz w:val="15"/>
              </w:rPr>
              <w:t>9; 11–12</w:t>
            </w:r>
          </w:p>
        </w:tc>
        <w:tc>
          <w:tcPr>
            <w:tcW w:w="3129" w:type="dxa"/>
            <w:vAlign w:val="center"/>
          </w:tcPr>
          <w:p>
            <w:r>
              <w:rPr>
                <w:b w:val="0"/>
                <w:sz w:val="15"/>
              </w:rPr>
              <w:t>Section 3.8 reports subgroup analyses, including a triglyceride interaction (p-interaction = 0.032), with stratum-specific estimates in Fig. 7. Section 3.9 and Fig. 8 report the sensitivity analysis excluding any-vessel overestimation (n=155), which retained a significant nonlinear association (p-overall = 0.012; p-nonlinear = 0.005).</w:t>
            </w:r>
          </w:p>
        </w:tc>
      </w:tr>
      <w:tr w14:paraId="6131E68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4992" w:type="dxa"/>
            <w:gridSpan w:val="5"/>
            <w:vAlign w:val="center"/>
          </w:tcPr>
          <w:p w14:paraId="6F09C931">
            <w:pPr>
              <w:pStyle w:val="168"/>
              <w:tabs>
                <w:tab w:val="left" w:pos="5400"/>
              </w:tabs>
              <w:spacing w:before="0" w:after="0" w:line="240" w:lineRule="auto"/>
              <w:rPr>
                <w:sz w:val="20"/>
              </w:rPr>
            </w:pPr>
            <w:bookmarkStart w:id="82" w:name="bold45"/>
            <w:bookmarkStart w:id="83" w:name="italic44"/>
            <w:r>
              <w:rPr>
                <w:sz w:val="20"/>
              </w:rPr>
              <w:t>Discussion</w:t>
            </w:r>
            <w:bookmarkEnd w:id="82"/>
            <w:bookmarkEnd w:id="83"/>
          </w:p>
        </w:tc>
      </w:tr>
      <w:tr w14:paraId="7B8C6E1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0" w:type="auto"/>
            <w:vAlign w:val="center"/>
          </w:tcPr>
          <w:p w14:paraId="6E7B3311">
            <w:pPr>
              <w:tabs>
                <w:tab w:val="left" w:pos="5400"/>
              </w:tabs>
              <w:spacing w:before="0" w:after="0" w:line="240" w:lineRule="auto"/>
              <w:rPr>
                <w:bCs/>
                <w:sz w:val="20"/>
              </w:rPr>
            </w:pPr>
            <w:bookmarkStart w:id="84" w:name="italic45" w:colFirst="0" w:colLast="0"/>
            <w:bookmarkStart w:id="85" w:name="bold46" w:colFirst="0" w:colLast="0"/>
            <w:r>
              <w:rPr>
                <w:bCs/>
                <w:sz w:val="20"/>
              </w:rPr>
              <w:t>Key results</w:t>
            </w:r>
          </w:p>
        </w:tc>
        <w:tc>
          <w:tcPr>
            <w:tcW w:w="0" w:type="auto"/>
            <w:vAlign w:val="center"/>
          </w:tcPr>
          <w:p w14:paraId="0CA494E0">
            <w:pPr>
              <w:tabs>
                <w:tab w:val="left" w:pos="5400"/>
              </w:tabs>
              <w:spacing w:before="0" w:after="0" w:line="240" w:lineRule="auto"/>
              <w:jc w:val="center"/>
              <w:rPr>
                <w:sz w:val="20"/>
              </w:rPr>
            </w:pPr>
            <w:r>
              <w:rPr>
                <w:sz w:val="20"/>
              </w:rPr>
              <w:t>18</w:t>
            </w:r>
          </w:p>
        </w:tc>
        <w:tc>
          <w:tcPr>
            <w:tcW w:w="8687" w:type="dxa"/>
            <w:vAlign w:val="center"/>
          </w:tcPr>
          <w:p w14:paraId="5B432CE9">
            <w:pPr>
              <w:tabs>
                <w:tab w:val="left" w:pos="5400"/>
              </w:tabs>
              <w:spacing w:before="0" w:after="0" w:line="240" w:lineRule="auto"/>
              <w:rPr>
                <w:sz w:val="20"/>
              </w:rPr>
            </w:pPr>
            <w:r>
              <w:rPr>
                <w:sz w:val="20"/>
              </w:rPr>
              <w:t>Summarise key results with reference to study objectives</w:t>
            </w:r>
          </w:p>
        </w:tc>
        <w:tc>
          <w:tcPr>
            <w:tcW w:w="1265" w:type="dxa"/>
            <w:vAlign w:val="center"/>
          </w:tcPr>
          <w:p>
            <w:r>
              <w:rPr>
                <w:b w:val="0"/>
                <w:sz w:val="15"/>
              </w:rPr>
              <w:t>12–13</w:t>
            </w:r>
          </w:p>
        </w:tc>
        <w:tc>
          <w:tcPr>
            <w:tcW w:w="3129" w:type="dxa"/>
            <w:vAlign w:val="center"/>
          </w:tcPr>
          <w:p>
            <w:r>
              <w:rPr>
                <w:b w:val="0"/>
                <w:sz w:val="15"/>
              </w:rPr>
              <w:t>The Discussion summarizes that CAC-associated CCTA underestimation is nonlinear and vessel-specific, that a single CAC cutoff is inadequate, and that integrated patient-level calcification burden and vessel-specific risk profiling better characterize diagnostic discordance.</w:t>
            </w:r>
          </w:p>
        </w:tc>
      </w:tr>
      <w:tr w14:paraId="710799C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0" w:type="auto"/>
            <w:vAlign w:val="center"/>
          </w:tcPr>
          <w:p w14:paraId="125AC686">
            <w:pPr>
              <w:tabs>
                <w:tab w:val="left" w:pos="5400"/>
              </w:tabs>
              <w:spacing w:before="0" w:after="0" w:line="240" w:lineRule="auto"/>
              <w:rPr>
                <w:bCs/>
                <w:sz w:val="20"/>
              </w:rPr>
            </w:pPr>
            <w:bookmarkStart w:id="86" w:name="bold47" w:colFirst="0" w:colLast="0"/>
            <w:bookmarkStart w:id="87" w:name="italic46" w:colFirst="0" w:colLast="0"/>
            <w:r>
              <w:rPr>
                <w:bCs/>
                <w:sz w:val="20"/>
              </w:rPr>
              <w:t>Limitations</w:t>
            </w:r>
          </w:p>
        </w:tc>
        <w:tc>
          <w:tcPr>
            <w:tcW w:w="0" w:type="auto"/>
            <w:vAlign w:val="center"/>
          </w:tcPr>
          <w:p w14:paraId="231F1598">
            <w:pPr>
              <w:tabs>
                <w:tab w:val="left" w:pos="5400"/>
              </w:tabs>
              <w:spacing w:before="0" w:after="0" w:line="240" w:lineRule="auto"/>
              <w:jc w:val="center"/>
              <w:rPr>
                <w:sz w:val="20"/>
              </w:rPr>
            </w:pPr>
            <w:r>
              <w:rPr>
                <w:sz w:val="20"/>
              </w:rPr>
              <w:t>19</w:t>
            </w:r>
          </w:p>
        </w:tc>
        <w:tc>
          <w:tcPr>
            <w:tcW w:w="8687" w:type="dxa"/>
            <w:vAlign w:val="center"/>
          </w:tcPr>
          <w:p w14:paraId="392D9867">
            <w:pPr>
              <w:tabs>
                <w:tab w:val="left" w:pos="5400"/>
              </w:tabs>
              <w:spacing w:before="0" w:after="0" w:line="240" w:lineRule="auto"/>
              <w:rPr>
                <w:sz w:val="20"/>
              </w:rPr>
            </w:pPr>
            <w:r>
              <w:rPr>
                <w:sz w:val="20"/>
              </w:rPr>
              <w:t>Discuss limitations of the study, taking into account sources of potential bias or imprecision. Discuss both direction and magnitude of any potential bias</w:t>
            </w:r>
          </w:p>
        </w:tc>
        <w:tc>
          <w:tcPr>
            <w:tcW w:w="1265" w:type="dxa"/>
            <w:vAlign w:val="center"/>
          </w:tcPr>
          <w:p>
            <w:r>
              <w:rPr>
                <w:b w:val="0"/>
                <w:sz w:val="15"/>
              </w:rPr>
              <w:t>13</w:t>
            </w:r>
          </w:p>
        </w:tc>
        <w:tc>
          <w:tcPr>
            <w:tcW w:w="3129" w:type="dxa"/>
            <w:vAlign w:val="center"/>
          </w:tcPr>
          <w:p>
            <w:r>
              <w:rPr>
                <w:b w:val="0"/>
                <w:sz w:val="15"/>
              </w:rPr>
              <w:t>The Limitations section identifies the retrospective single-center design and residual confounding, potential interobserver variability from visual ICA estimation, and unmeasured dynamic/image-quality factors. It recommends prospective multicenter validation with QCA/IVUS and advanced CT technologies; the magnitude of these potential biases is not quantified.</w:t>
            </w:r>
          </w:p>
        </w:tc>
      </w:tr>
      <w:tr w14:paraId="5B56B55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0" w:type="auto"/>
            <w:vAlign w:val="center"/>
          </w:tcPr>
          <w:p w14:paraId="51E6819E">
            <w:pPr>
              <w:tabs>
                <w:tab w:val="left" w:pos="5400"/>
              </w:tabs>
              <w:spacing w:before="0" w:after="0" w:line="240" w:lineRule="auto"/>
              <w:rPr>
                <w:bCs/>
                <w:sz w:val="20"/>
              </w:rPr>
            </w:pPr>
            <w:bookmarkStart w:id="88" w:name="italic47" w:colFirst="0" w:colLast="0"/>
            <w:bookmarkStart w:id="89" w:name="bold48" w:colFirst="0" w:colLast="0"/>
            <w:r>
              <w:rPr>
                <w:bCs/>
                <w:sz w:val="20"/>
              </w:rPr>
              <w:t>Interpretation</w:t>
            </w:r>
          </w:p>
        </w:tc>
        <w:tc>
          <w:tcPr>
            <w:tcW w:w="0" w:type="auto"/>
            <w:vAlign w:val="center"/>
          </w:tcPr>
          <w:p w14:paraId="43D4F5F2">
            <w:pPr>
              <w:tabs>
                <w:tab w:val="left" w:pos="5400"/>
              </w:tabs>
              <w:spacing w:before="0" w:after="0" w:line="240" w:lineRule="auto"/>
              <w:jc w:val="center"/>
              <w:rPr>
                <w:sz w:val="20"/>
              </w:rPr>
            </w:pPr>
            <w:r>
              <w:rPr>
                <w:sz w:val="20"/>
              </w:rPr>
              <w:t>20</w:t>
            </w:r>
          </w:p>
        </w:tc>
        <w:tc>
          <w:tcPr>
            <w:tcW w:w="8687" w:type="dxa"/>
            <w:vAlign w:val="center"/>
          </w:tcPr>
          <w:p w14:paraId="58088DE6">
            <w:pPr>
              <w:tabs>
                <w:tab w:val="left" w:pos="5400"/>
              </w:tabs>
              <w:spacing w:before="0" w:after="0" w:line="240" w:lineRule="auto"/>
              <w:rPr>
                <w:sz w:val="20"/>
              </w:rPr>
            </w:pPr>
            <w:r>
              <w:rPr>
                <w:sz w:val="20"/>
              </w:rPr>
              <w:t>Give a cautious overall interpretation of results considering objectives, limitations, multiplicity of analyses, results from similar studies, and other relevant evidence</w:t>
            </w:r>
          </w:p>
        </w:tc>
        <w:tc>
          <w:tcPr>
            <w:tcW w:w="1265" w:type="dxa"/>
            <w:vAlign w:val="center"/>
          </w:tcPr>
          <w:p>
            <w:r>
              <w:rPr>
                <w:b w:val="0"/>
                <w:sz w:val="15"/>
              </w:rPr>
              <w:t>12–13</w:t>
            </w:r>
          </w:p>
        </w:tc>
        <w:tc>
          <w:tcPr>
            <w:tcW w:w="3129" w:type="dxa"/>
            <w:vAlign w:val="center"/>
          </w:tcPr>
          <w:p>
            <w:r>
              <w:rPr>
                <w:b w:val="0"/>
                <w:sz w:val="15"/>
              </w:rPr>
              <w:t>The Discussion interprets the nonlinear and vessel-specific findings in the context of calcification artifacts and prior evidence, emphasizes that RCS OR = 1 crossings are graphical reference points rather than validated diagnostic cutoffs, and recommends integrated CAC and territory-specific assessment rather than reliance on a single threshold.</w:t>
            </w:r>
          </w:p>
        </w:tc>
      </w:tr>
      <w:tr w14:paraId="544788F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0" w:type="auto"/>
            <w:vAlign w:val="center"/>
          </w:tcPr>
          <w:p w14:paraId="0F061DA2">
            <w:pPr>
              <w:tabs>
                <w:tab w:val="left" w:pos="5400"/>
              </w:tabs>
              <w:spacing w:before="0" w:after="0" w:line="240" w:lineRule="auto"/>
              <w:rPr>
                <w:bCs/>
                <w:sz w:val="20"/>
              </w:rPr>
            </w:pPr>
            <w:bookmarkStart w:id="90" w:name="italic48" w:colFirst="0" w:colLast="0"/>
            <w:bookmarkStart w:id="91" w:name="bold49" w:colFirst="0" w:colLast="0"/>
            <w:r>
              <w:rPr>
                <w:bCs/>
                <w:sz w:val="20"/>
              </w:rPr>
              <w:t>Generalisability</w:t>
            </w:r>
          </w:p>
        </w:tc>
        <w:tc>
          <w:tcPr>
            <w:tcW w:w="0" w:type="auto"/>
            <w:vAlign w:val="center"/>
          </w:tcPr>
          <w:p w14:paraId="1F0A1A4F">
            <w:pPr>
              <w:tabs>
                <w:tab w:val="left" w:pos="5400"/>
              </w:tabs>
              <w:spacing w:before="0" w:after="0" w:line="240" w:lineRule="auto"/>
              <w:jc w:val="center"/>
              <w:rPr>
                <w:sz w:val="20"/>
              </w:rPr>
            </w:pPr>
            <w:r>
              <w:rPr>
                <w:sz w:val="20"/>
              </w:rPr>
              <w:t>21</w:t>
            </w:r>
          </w:p>
        </w:tc>
        <w:tc>
          <w:tcPr>
            <w:tcW w:w="8687" w:type="dxa"/>
            <w:vAlign w:val="center"/>
          </w:tcPr>
          <w:p w14:paraId="41E6D30D">
            <w:pPr>
              <w:tabs>
                <w:tab w:val="left" w:pos="5400"/>
              </w:tabs>
              <w:spacing w:before="0" w:after="0" w:line="240" w:lineRule="auto"/>
              <w:rPr>
                <w:sz w:val="20"/>
              </w:rPr>
            </w:pPr>
            <w:r>
              <w:rPr>
                <w:sz w:val="20"/>
              </w:rPr>
              <w:t>Discuss the generalisability (external validity) of the study results</w:t>
            </w:r>
          </w:p>
        </w:tc>
        <w:tc>
          <w:tcPr>
            <w:tcW w:w="1265" w:type="dxa"/>
            <w:vAlign w:val="center"/>
          </w:tcPr>
          <w:p>
            <w:r>
              <w:rPr>
                <w:b w:val="0"/>
                <w:sz w:val="15"/>
              </w:rPr>
              <w:t>13</w:t>
            </w:r>
          </w:p>
        </w:tc>
        <w:tc>
          <w:tcPr>
            <w:tcW w:w="3129" w:type="dxa"/>
            <w:vAlign w:val="center"/>
          </w:tcPr>
          <w:p>
            <w:r>
              <w:rPr>
                <w:b w:val="0"/>
                <w:sz w:val="15"/>
              </w:rPr>
              <w:t>Generalisability is addressed in the Limitations by acknowledging the retrospective single-center design and calling for prospective multicenter registries to validate the findings.</w:t>
            </w:r>
          </w:p>
        </w:tc>
      </w:tr>
      <w:tr w14:paraId="4B07ED1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911" w:type="dxa"/>
            <w:gridSpan w:val="2"/>
            <w:vAlign w:val="center"/>
          </w:tcPr>
          <w:p w14:paraId="59480A51">
            <w:pPr>
              <w:pStyle w:val="168"/>
              <w:tabs>
                <w:tab w:val="left" w:pos="5400"/>
              </w:tabs>
              <w:spacing w:before="0" w:after="0" w:line="240" w:lineRule="auto"/>
              <w:rPr>
                <w:sz w:val="20"/>
              </w:rPr>
            </w:pPr>
            <w:bookmarkStart w:id="92" w:name="bold50"/>
            <w:bookmarkStart w:id="93" w:name="italic49"/>
            <w:r>
              <w:rPr>
                <w:sz w:val="20"/>
              </w:rPr>
              <w:t>Other information</w:t>
            </w:r>
          </w:p>
          <w:bookmarkEnd w:id="92"/>
          <w:bookmarkEnd w:id="93"/>
        </w:tc>
        <w:tc>
          <w:tcPr>
            <w:tcW w:w="13081" w:type="dxa"/>
            <w:gridSpan w:val="3"/>
            <w:vAlign w:val="center"/>
          </w:tcPr>
          <w:p w14:paraId="7DE3281E">
            <w:pPr>
              <w:pStyle w:val="168"/>
              <w:tabs>
                <w:tab w:val="left" w:pos="5400"/>
              </w:tabs>
              <w:spacing w:before="0" w:after="0" w:line="240" w:lineRule="auto"/>
              <w:rPr>
                <w:sz w:val="20"/>
              </w:rPr>
            </w:pPr>
          </w:p>
        </w:tc>
      </w:tr>
      <w:tr w14:paraId="5594C55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Pr>
        <w:tc>
          <w:tcPr>
            <w:tcW w:w="0" w:type="auto"/>
            <w:vAlign w:val="center"/>
          </w:tcPr>
          <w:p w14:paraId="60E41373">
            <w:pPr>
              <w:tabs>
                <w:tab w:val="left" w:pos="5400"/>
              </w:tabs>
              <w:spacing w:before="0" w:after="0" w:line="240" w:lineRule="auto"/>
              <w:rPr>
                <w:bCs/>
                <w:sz w:val="20"/>
              </w:rPr>
            </w:pPr>
            <w:bookmarkStart w:id="94" w:name="italic50" w:colFirst="0" w:colLast="0"/>
            <w:bookmarkStart w:id="95" w:name="bold51" w:colFirst="0" w:colLast="0"/>
            <w:r>
              <w:rPr>
                <w:bCs/>
                <w:sz w:val="20"/>
              </w:rPr>
              <w:t>Funding</w:t>
            </w:r>
          </w:p>
        </w:tc>
        <w:tc>
          <w:tcPr>
            <w:tcW w:w="0" w:type="auto"/>
            <w:vAlign w:val="center"/>
          </w:tcPr>
          <w:p w14:paraId="64FA8F82">
            <w:pPr>
              <w:tabs>
                <w:tab w:val="left" w:pos="5400"/>
              </w:tabs>
              <w:spacing w:before="0" w:after="0" w:line="240" w:lineRule="auto"/>
              <w:jc w:val="center"/>
              <w:rPr>
                <w:sz w:val="20"/>
              </w:rPr>
            </w:pPr>
            <w:r>
              <w:rPr>
                <w:sz w:val="20"/>
              </w:rPr>
              <w:t>22</w:t>
            </w:r>
          </w:p>
        </w:tc>
        <w:tc>
          <w:tcPr>
            <w:tcW w:w="8687" w:type="dxa"/>
            <w:vAlign w:val="center"/>
          </w:tcPr>
          <w:p w14:paraId="03FC3F79">
            <w:pPr>
              <w:tabs>
                <w:tab w:val="left" w:pos="5400"/>
              </w:tabs>
              <w:spacing w:before="0" w:after="0" w:line="240" w:lineRule="auto"/>
              <w:rPr>
                <w:sz w:val="20"/>
              </w:rPr>
            </w:pPr>
            <w:r>
              <w:rPr>
                <w:sz w:val="20"/>
              </w:rPr>
              <w:t>Give the source of funding and the role of the funders for the present study and, if applicable, for the original study on which the present article is based</w:t>
            </w:r>
          </w:p>
        </w:tc>
        <w:tc>
          <w:tcPr>
            <w:tcW w:w="1265" w:type="dxa"/>
            <w:vAlign w:val="center"/>
          </w:tcPr>
          <w:p>
            <w:r>
              <w:rPr>
                <w:b w:val="0"/>
                <w:sz w:val="15"/>
              </w:rPr>
              <w:t>14</w:t>
            </w:r>
          </w:p>
        </w:tc>
        <w:tc>
          <w:tcPr>
            <w:tcW w:w="3129" w:type="dxa"/>
            <w:vAlign w:val="center"/>
          </w:tcPr>
          <w:p>
            <w:r>
              <w:rPr>
                <w:b w:val="0"/>
                <w:sz w:val="15"/>
              </w:rPr>
              <w:t>“This work was supported by the National Natural Science Foundation of China (Grant No. 81600276).” The role of the funder is not separately described in the manuscript.</w:t>
            </w:r>
          </w:p>
        </w:tc>
      </w:tr>
    </w:tbl>
    <w:p w14:paraId="25812289">
      <w:pPr>
        <w:pStyle w:val="154"/>
        <w:tabs>
          <w:tab w:val="left" w:pos="5400"/>
        </w:tabs>
        <w:rPr>
          <w:bCs/>
          <w:sz w:val="20"/>
        </w:rPr>
      </w:pPr>
    </w:p>
    <w:p w14:paraId="3E166336">
      <w:pPr>
        <w:pStyle w:val="154"/>
        <w:tabs>
          <w:tab w:val="left" w:pos="5400"/>
        </w:tabs>
        <w:rPr>
          <w:sz w:val="20"/>
        </w:rPr>
      </w:pPr>
      <w:r>
        <w:rPr>
          <w:bCs/>
          <w:sz w:val="20"/>
        </w:rPr>
        <w:t>*</w:t>
      </w:r>
      <w:r>
        <w:rPr>
          <w:sz w:val="20"/>
        </w:rPr>
        <w:t>Give information separately for cases and controls in case-control studies and, if applicable, for exposed and unexposed groups in cohort and cross-sectional studies.</w:t>
      </w:r>
    </w:p>
    <w:p w14:paraId="5E4DD35C">
      <w:pPr>
        <w:pStyle w:val="154"/>
        <w:tabs>
          <w:tab w:val="left" w:pos="5400"/>
        </w:tabs>
        <w:rPr>
          <w:sz w:val="20"/>
        </w:rPr>
      </w:pPr>
    </w:p>
    <w:p w14:paraId="7FE3CFD3">
      <w:pPr>
        <w:pStyle w:val="154"/>
        <w:tabs>
          <w:tab w:val="left" w:pos="5400"/>
        </w:tabs>
        <w:rPr>
          <w:sz w:val="20"/>
        </w:rPr>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www.strobe-statement.org.</w:t>
      </w:r>
    </w:p>
    <w:sectPr>
      <w:footerReference r:id="rId5" w:type="default"/>
      <w:footerReference r:id="rId6" w:type="even"/>
      <w:pgSz w:w="16834" w:h="11909" w:orient="landscape"/>
      <w:pgMar w:top="1134" w:right="1134" w:bottom="1134" w:left="993"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87349">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separate"/>
    </w:r>
    <w:r>
      <w:rPr>
        <w:rStyle w:val="78"/>
      </w:rPr>
      <w:t>3</w:t>
    </w:r>
    <w:r>
      <w:rPr>
        <w:rStyle w:val="78"/>
      </w:rPr>
      <w:fldChar w:fldCharType="end"/>
    </w:r>
  </w:p>
  <w:p w14:paraId="0B18C691">
    <w:pPr>
      <w:pStyle w:val="4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28139">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end"/>
    </w:r>
  </w:p>
  <w:p w14:paraId="56A60CE0">
    <w:pPr>
      <w:pStyle w:val="4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4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5"/>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3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18"/>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2"/>
      <w:lvlText w:val=""/>
      <w:lvlJc w:val="left"/>
      <w:pPr>
        <w:tabs>
          <w:tab w:val="left" w:pos="360"/>
        </w:tabs>
        <w:ind w:left="360" w:hanging="360"/>
      </w:pPr>
      <w:rPr>
        <w:rFonts w:hint="default" w:ascii="Symbol" w:hAnsi="Symbol"/>
      </w:rPr>
    </w:lvl>
  </w:abstractNum>
  <w:abstractNum w:abstractNumId="10">
    <w:nsid w:val="019D1C5B"/>
    <w:multiLevelType w:val="multilevel"/>
    <w:tmpl w:val="019D1C5B"/>
    <w:lvl w:ilvl="0" w:tentative="0">
      <w:start w:val="1"/>
      <w:numFmt w:val="none"/>
      <w:pStyle w:val="118"/>
      <w:lvlText w:val="Fig Name - "/>
      <w:lvlJc w:val="left"/>
      <w:pPr>
        <w:tabs>
          <w:tab w:val="left" w:pos="2160"/>
        </w:tabs>
        <w:ind w:left="720" w:hanging="36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C26C30"/>
    <w:multiLevelType w:val="multilevel"/>
    <w:tmpl w:val="3AC26C30"/>
    <w:lvl w:ilvl="0" w:tentative="0">
      <w:start w:val="1"/>
      <w:numFmt w:val="none"/>
      <w:suff w:val="space"/>
      <w:lvlText w:val="Accepted:"/>
      <w:lvlJc w:val="left"/>
      <w:pPr>
        <w:ind w:left="0" w:firstLine="0"/>
      </w:pPr>
    </w:lvl>
    <w:lvl w:ilvl="1" w:tentative="0">
      <w:start w:val="1"/>
      <w:numFmt w:val="upperLetter"/>
      <w:pStyle w:val="4"/>
      <w:lvlText w:val="%2."/>
      <w:lvlJc w:val="left"/>
      <w:pPr>
        <w:tabs>
          <w:tab w:val="left" w:pos="1080"/>
        </w:tabs>
        <w:ind w:left="720" w:firstLine="0"/>
      </w:pPr>
    </w:lvl>
    <w:lvl w:ilvl="2" w:tentative="0">
      <w:start w:val="1"/>
      <w:numFmt w:val="decimal"/>
      <w:pStyle w:val="5"/>
      <w:lvlText w:val="%3."/>
      <w:lvlJc w:val="left"/>
      <w:pPr>
        <w:tabs>
          <w:tab w:val="left" w:pos="1800"/>
        </w:tabs>
        <w:ind w:left="1440" w:firstLine="0"/>
      </w:pPr>
    </w:lvl>
    <w:lvl w:ilvl="3" w:tentative="0">
      <w:start w:val="1"/>
      <w:numFmt w:val="lowerLetter"/>
      <w:pStyle w:val="6"/>
      <w:lvlText w:val="%4)"/>
      <w:lvlJc w:val="left"/>
      <w:pPr>
        <w:tabs>
          <w:tab w:val="left" w:pos="2520"/>
        </w:tabs>
        <w:ind w:left="2160" w:firstLine="0"/>
      </w:pPr>
    </w:lvl>
    <w:lvl w:ilvl="4" w:tentative="0">
      <w:start w:val="1"/>
      <w:numFmt w:val="decimal"/>
      <w:pStyle w:val="7"/>
      <w:lvlText w:val="(%5)"/>
      <w:lvlJc w:val="left"/>
      <w:pPr>
        <w:tabs>
          <w:tab w:val="left" w:pos="3240"/>
        </w:tabs>
        <w:ind w:left="2880" w:firstLine="0"/>
      </w:pPr>
    </w:lvl>
    <w:lvl w:ilvl="5" w:tentative="0">
      <w:start w:val="1"/>
      <w:numFmt w:val="lowerLetter"/>
      <w:pStyle w:val="8"/>
      <w:lvlText w:val="(%6)"/>
      <w:lvlJc w:val="left"/>
      <w:pPr>
        <w:tabs>
          <w:tab w:val="left" w:pos="3960"/>
        </w:tabs>
        <w:ind w:left="3600" w:firstLine="0"/>
      </w:pPr>
    </w:lvl>
    <w:lvl w:ilvl="6" w:tentative="0">
      <w:start w:val="1"/>
      <w:numFmt w:val="lowerRoman"/>
      <w:pStyle w:val="9"/>
      <w:lvlText w:val="(%7)"/>
      <w:lvlJc w:val="left"/>
      <w:pPr>
        <w:tabs>
          <w:tab w:val="left" w:pos="4680"/>
        </w:tabs>
        <w:ind w:left="4320" w:firstLine="0"/>
      </w:pPr>
    </w:lvl>
    <w:lvl w:ilvl="7" w:tentative="0">
      <w:start w:val="1"/>
      <w:numFmt w:val="lowerLetter"/>
      <w:pStyle w:val="10"/>
      <w:lvlText w:val="(%8)"/>
      <w:lvlJc w:val="left"/>
      <w:pPr>
        <w:tabs>
          <w:tab w:val="left" w:pos="5400"/>
        </w:tabs>
        <w:ind w:left="5040" w:firstLine="0"/>
      </w:pPr>
    </w:lvl>
    <w:lvl w:ilvl="8" w:tentative="0">
      <w:start w:val="1"/>
      <w:numFmt w:val="lowerRoman"/>
      <w:pStyle w:val="11"/>
      <w:lvlText w:val="(%9)"/>
      <w:lvlJc w:val="left"/>
      <w:pPr>
        <w:tabs>
          <w:tab w:val="left" w:pos="6120"/>
        </w:tabs>
        <w:ind w:left="5760" w:firstLine="0"/>
      </w:pPr>
    </w:lvl>
  </w:abstractNum>
  <w:abstractNum w:abstractNumId="12">
    <w:nsid w:val="3BE331A9"/>
    <w:multiLevelType w:val="multilevel"/>
    <w:tmpl w:val="3BE331A9"/>
    <w:lvl w:ilvl="0" w:tentative="0">
      <w:start w:val="1"/>
      <w:numFmt w:val="decimal"/>
      <w:pStyle w:val="159"/>
      <w:lvlText w:val="w%1."/>
      <w:lvlJc w:val="left"/>
      <w:pPr>
        <w:tabs>
          <w:tab w:val="left" w:pos="1800"/>
        </w:tabs>
        <w:ind w:left="1440" w:hanging="360"/>
      </w:pPr>
      <w:rPr>
        <w:rFonts w:hint="default"/>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3">
    <w:nsid w:val="56A360E7"/>
    <w:multiLevelType w:val="multilevel"/>
    <w:tmpl w:val="56A360E7"/>
    <w:lvl w:ilvl="0" w:tentative="0">
      <w:start w:val="1"/>
      <w:numFmt w:val="decimal"/>
      <w:pStyle w:val="144"/>
      <w:lvlText w:val="%1."/>
      <w:lvlJc w:val="right"/>
      <w:pPr>
        <w:tabs>
          <w:tab w:val="left" w:pos="454"/>
        </w:tabs>
        <w:ind w:left="454" w:hanging="170"/>
      </w:pPr>
      <w:rPr>
        <w:rFonts w:hint="default"/>
      </w:rPr>
    </w:lvl>
    <w:lvl w:ilvl="1" w:tentative="0">
      <w:start w:val="1"/>
      <w:numFmt w:val="lowerLetter"/>
      <w:lvlText w:val="%2."/>
      <w:lvlJc w:val="left"/>
      <w:pPr>
        <w:tabs>
          <w:tab w:val="left" w:pos="1080"/>
        </w:tabs>
        <w:ind w:left="1080" w:hanging="360"/>
      </w:pPr>
      <w:rPr>
        <w:rFonts w:hint="default"/>
      </w:rPr>
    </w:lvl>
    <w:lvl w:ilvl="2" w:tentative="0">
      <w:start w:val="1"/>
      <w:numFmt w:val="lowerRoman"/>
      <w:lvlText w:val="%3."/>
      <w:lvlJc w:val="right"/>
      <w:pPr>
        <w:tabs>
          <w:tab w:val="left" w:pos="1800"/>
        </w:tabs>
        <w:ind w:left="1800" w:hanging="180"/>
      </w:pPr>
      <w:rPr>
        <w:rFonts w:hint="default"/>
      </w:rPr>
    </w:lvl>
    <w:lvl w:ilvl="3" w:tentative="0">
      <w:start w:val="1"/>
      <w:numFmt w:val="decimal"/>
      <w:lvlText w:val="%4."/>
      <w:lvlJc w:val="left"/>
      <w:pPr>
        <w:tabs>
          <w:tab w:val="left" w:pos="2520"/>
        </w:tabs>
        <w:ind w:left="2520" w:hanging="360"/>
      </w:pPr>
      <w:rPr>
        <w:rFonts w:hint="default"/>
      </w:rPr>
    </w:lvl>
    <w:lvl w:ilvl="4" w:tentative="0">
      <w:start w:val="1"/>
      <w:numFmt w:val="lowerLetter"/>
      <w:lvlText w:val="%5."/>
      <w:lvlJc w:val="left"/>
      <w:pPr>
        <w:tabs>
          <w:tab w:val="left" w:pos="3240"/>
        </w:tabs>
        <w:ind w:left="3240" w:hanging="360"/>
      </w:pPr>
      <w:rPr>
        <w:rFonts w:hint="default"/>
      </w:rPr>
    </w:lvl>
    <w:lvl w:ilvl="5" w:tentative="0">
      <w:start w:val="1"/>
      <w:numFmt w:val="lowerRoman"/>
      <w:lvlText w:val="%6."/>
      <w:lvlJc w:val="right"/>
      <w:pPr>
        <w:tabs>
          <w:tab w:val="left" w:pos="3960"/>
        </w:tabs>
        <w:ind w:left="3960" w:hanging="180"/>
      </w:pPr>
      <w:rPr>
        <w:rFonts w:hint="default"/>
      </w:rPr>
    </w:lvl>
    <w:lvl w:ilvl="6" w:tentative="0">
      <w:start w:val="1"/>
      <w:numFmt w:val="decimal"/>
      <w:lvlText w:val="%7."/>
      <w:lvlJc w:val="left"/>
      <w:pPr>
        <w:tabs>
          <w:tab w:val="left" w:pos="4680"/>
        </w:tabs>
        <w:ind w:left="4680" w:hanging="360"/>
      </w:pPr>
      <w:rPr>
        <w:rFonts w:hint="default"/>
      </w:rPr>
    </w:lvl>
    <w:lvl w:ilvl="7" w:tentative="0">
      <w:start w:val="1"/>
      <w:numFmt w:val="lowerLetter"/>
      <w:lvlText w:val="%8."/>
      <w:lvlJc w:val="left"/>
      <w:pPr>
        <w:tabs>
          <w:tab w:val="left" w:pos="5400"/>
        </w:tabs>
        <w:ind w:left="5400" w:hanging="360"/>
      </w:pPr>
      <w:rPr>
        <w:rFonts w:hint="default"/>
      </w:rPr>
    </w:lvl>
    <w:lvl w:ilvl="8" w:tentative="0">
      <w:start w:val="1"/>
      <w:numFmt w:val="lowerRoman"/>
      <w:lvlText w:val="%9."/>
      <w:lvlJc w:val="right"/>
      <w:pPr>
        <w:tabs>
          <w:tab w:val="left" w:pos="6120"/>
        </w:tabs>
        <w:ind w:left="6120" w:hanging="180"/>
      </w:pPr>
      <w:rPr>
        <w:rFonts w:hint="default"/>
      </w:rPr>
    </w:lvl>
  </w:abstractNum>
  <w:abstractNum w:abstractNumId="14">
    <w:nsid w:val="6160701F"/>
    <w:multiLevelType w:val="multilevel"/>
    <w:tmpl w:val="6160701F"/>
    <w:lvl w:ilvl="0" w:tentative="0">
      <w:start w:val="1"/>
      <w:numFmt w:val="decimal"/>
      <w:pStyle w:val="153"/>
      <w:lvlText w:val="Table %1 - "/>
      <w:lvlJc w:val="left"/>
      <w:pPr>
        <w:tabs>
          <w:tab w:val="left" w:pos="1440"/>
        </w:tabs>
        <w:ind w:left="0" w:firstLine="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rawingGridHorizontalSpacing w:val="120"/>
  <w:displayHorizontalDrawingGridEvery w:val="2"/>
  <w:noPunctuationKerning w:val="1"/>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91A23"/>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65542"/>
    <w:rsid w:val="00472DF5"/>
    <w:rsid w:val="00495204"/>
    <w:rsid w:val="004A31B3"/>
    <w:rsid w:val="004A32C8"/>
    <w:rsid w:val="004E1263"/>
    <w:rsid w:val="005044A6"/>
    <w:rsid w:val="00517788"/>
    <w:rsid w:val="00590F64"/>
    <w:rsid w:val="005923E5"/>
    <w:rsid w:val="005B567D"/>
    <w:rsid w:val="005D0CFC"/>
    <w:rsid w:val="005D19F4"/>
    <w:rsid w:val="005F254A"/>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A489B"/>
    <w:rsid w:val="00CB6CC8"/>
    <w:rsid w:val="00CC4C93"/>
    <w:rsid w:val="00D120D2"/>
    <w:rsid w:val="00D20D7C"/>
    <w:rsid w:val="00D26FCA"/>
    <w:rsid w:val="00D6407C"/>
    <w:rsid w:val="00D87AF7"/>
    <w:rsid w:val="00DA120C"/>
    <w:rsid w:val="00DC4BEF"/>
    <w:rsid w:val="00E10628"/>
    <w:rsid w:val="00E144CD"/>
    <w:rsid w:val="00E2292B"/>
    <w:rsid w:val="00E341E9"/>
    <w:rsid w:val="00EA6E28"/>
    <w:rsid w:val="00F0752A"/>
    <w:rsid w:val="00F378D0"/>
    <w:rsid w:val="00F76A7F"/>
    <w:rsid w:val="00F838E1"/>
    <w:rsid w:val="00F842DC"/>
    <w:rsid w:val="00F876FF"/>
    <w:rsid w:val="00F93A89"/>
    <w:rsid w:val="00F970FA"/>
    <w:rsid w:val="00FA2721"/>
    <w:rsid w:val="00FA3D11"/>
    <w:rsid w:val="032F6329"/>
    <w:rsid w:val="05234E03"/>
    <w:rsid w:val="0828287B"/>
    <w:rsid w:val="1CA613B3"/>
    <w:rsid w:val="22E45513"/>
    <w:rsid w:val="27AE0637"/>
    <w:rsid w:val="2C730CBC"/>
    <w:rsid w:val="3E1077B6"/>
    <w:rsid w:val="5B6E1A92"/>
    <w:rsid w:val="6A172FA7"/>
    <w:rsid w:val="6CFD6CF2"/>
    <w:rsid w:val="6EB0547A"/>
    <w:rsid w:val="7EB45827"/>
    <w:rsid w:val="7F556AC1"/>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name="footnote reference"/>
    <w:lsdException w:qFormat="1" w:unhideWhenUsed="0" w:uiPriority="0" w:name="annotation reference"/>
    <w:lsdException w:qFormat="1"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qFormat="1" w:unhideWhenUsed="0"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exact"/>
    </w:pPr>
    <w:rPr>
      <w:rFonts w:ascii="Times New Roman" w:hAnsi="Times New Roman" w:eastAsia="Times New Roman" w:cs="Times New Roman"/>
      <w:sz w:val="24"/>
      <w:lang w:val="en-GB" w:eastAsia="en-US" w:bidi="ar-SA"/>
    </w:rPr>
  </w:style>
  <w:style w:type="paragraph" w:styleId="3">
    <w:name w:val="heading 1"/>
    <w:basedOn w:val="1"/>
    <w:next w:val="1"/>
    <w:qFormat/>
    <w:uiPriority w:val="0"/>
    <w:pPr>
      <w:keepNext/>
      <w:spacing w:before="240" w:after="60"/>
      <w:outlineLvl w:val="0"/>
    </w:pPr>
    <w:rPr>
      <w:rFonts w:ascii="Arial" w:hAnsi="Arial"/>
      <w:b/>
      <w:bCs/>
      <w:kern w:val="32"/>
      <w:sz w:val="32"/>
      <w:szCs w:val="32"/>
    </w:rPr>
  </w:style>
  <w:style w:type="paragraph" w:styleId="4">
    <w:name w:val="heading 2"/>
    <w:basedOn w:val="1"/>
    <w:next w:val="1"/>
    <w:qFormat/>
    <w:uiPriority w:val="0"/>
    <w:pPr>
      <w:keepNext/>
      <w:numPr>
        <w:ilvl w:val="1"/>
        <w:numId w:val="1"/>
      </w:numPr>
      <w:spacing w:before="240" w:after="60" w:line="240" w:lineRule="auto"/>
      <w:outlineLvl w:val="1"/>
    </w:pPr>
    <w:rPr>
      <w:rFonts w:ascii="Arial" w:hAnsi="Arial"/>
      <w:b/>
      <w:i/>
    </w:rPr>
  </w:style>
  <w:style w:type="paragraph" w:styleId="5">
    <w:name w:val="heading 3"/>
    <w:basedOn w:val="1"/>
    <w:next w:val="1"/>
    <w:qFormat/>
    <w:uiPriority w:val="0"/>
    <w:pPr>
      <w:keepNext/>
      <w:numPr>
        <w:ilvl w:val="2"/>
        <w:numId w:val="1"/>
      </w:numPr>
      <w:spacing w:before="240" w:after="60" w:line="240" w:lineRule="auto"/>
      <w:outlineLvl w:val="2"/>
    </w:pPr>
    <w:rPr>
      <w:rFonts w:ascii="Arial" w:hAnsi="Arial"/>
    </w:rPr>
  </w:style>
  <w:style w:type="paragraph" w:styleId="6">
    <w:name w:val="heading 4"/>
    <w:basedOn w:val="1"/>
    <w:next w:val="1"/>
    <w:qFormat/>
    <w:uiPriority w:val="0"/>
    <w:pPr>
      <w:keepNext/>
      <w:numPr>
        <w:ilvl w:val="3"/>
        <w:numId w:val="1"/>
      </w:numPr>
      <w:spacing w:before="240" w:after="60" w:line="240" w:lineRule="auto"/>
      <w:outlineLvl w:val="3"/>
    </w:pPr>
    <w:rPr>
      <w:rFonts w:ascii="Arial" w:hAnsi="Arial"/>
      <w:b/>
    </w:rPr>
  </w:style>
  <w:style w:type="paragraph" w:styleId="7">
    <w:name w:val="heading 5"/>
    <w:basedOn w:val="1"/>
    <w:next w:val="1"/>
    <w:qFormat/>
    <w:uiPriority w:val="0"/>
    <w:pPr>
      <w:numPr>
        <w:ilvl w:val="4"/>
        <w:numId w:val="1"/>
      </w:numPr>
      <w:spacing w:before="240" w:after="60" w:line="240" w:lineRule="auto"/>
      <w:outlineLvl w:val="4"/>
    </w:pPr>
    <w:rPr>
      <w:sz w:val="22"/>
    </w:rPr>
  </w:style>
  <w:style w:type="paragraph" w:styleId="8">
    <w:name w:val="heading 6"/>
    <w:basedOn w:val="1"/>
    <w:next w:val="1"/>
    <w:qFormat/>
    <w:uiPriority w:val="0"/>
    <w:pPr>
      <w:numPr>
        <w:ilvl w:val="5"/>
        <w:numId w:val="1"/>
      </w:numPr>
      <w:spacing w:before="240" w:after="60" w:line="240" w:lineRule="auto"/>
      <w:outlineLvl w:val="5"/>
    </w:pPr>
    <w:rPr>
      <w:i/>
      <w:sz w:val="22"/>
    </w:rPr>
  </w:style>
  <w:style w:type="paragraph" w:styleId="9">
    <w:name w:val="heading 7"/>
    <w:basedOn w:val="1"/>
    <w:next w:val="1"/>
    <w:qFormat/>
    <w:uiPriority w:val="0"/>
    <w:pPr>
      <w:numPr>
        <w:ilvl w:val="6"/>
        <w:numId w:val="1"/>
      </w:numPr>
      <w:spacing w:before="240" w:after="60" w:line="240" w:lineRule="auto"/>
      <w:outlineLvl w:val="6"/>
    </w:pPr>
    <w:rPr>
      <w:rFonts w:ascii="Arial" w:hAnsi="Arial"/>
      <w:sz w:val="20"/>
    </w:rPr>
  </w:style>
  <w:style w:type="paragraph" w:styleId="10">
    <w:name w:val="heading 8"/>
    <w:basedOn w:val="1"/>
    <w:next w:val="1"/>
    <w:qFormat/>
    <w:uiPriority w:val="0"/>
    <w:pPr>
      <w:numPr>
        <w:ilvl w:val="7"/>
        <w:numId w:val="1"/>
      </w:numPr>
      <w:spacing w:before="240" w:after="60" w:line="240" w:lineRule="auto"/>
      <w:outlineLvl w:val="7"/>
    </w:pPr>
    <w:rPr>
      <w:rFonts w:ascii="Arial" w:hAnsi="Arial"/>
      <w:i/>
      <w:sz w:val="20"/>
    </w:rPr>
  </w:style>
  <w:style w:type="paragraph" w:styleId="11">
    <w:name w:val="heading 9"/>
    <w:basedOn w:val="1"/>
    <w:next w:val="1"/>
    <w:qFormat/>
    <w:uiPriority w:val="0"/>
    <w:pPr>
      <w:numPr>
        <w:ilvl w:val="8"/>
        <w:numId w:val="1"/>
      </w:numPr>
      <w:spacing w:before="240" w:after="60" w:line="240" w:lineRule="auto"/>
      <w:outlineLvl w:val="8"/>
    </w:pPr>
    <w:rPr>
      <w:rFonts w:ascii="Arial" w:hAnsi="Arial"/>
      <w:b/>
      <w:i/>
      <w:sz w:val="18"/>
    </w:rPr>
  </w:style>
  <w:style w:type="character" w:default="1" w:styleId="76">
    <w:name w:val="Default Paragraph Font"/>
    <w:semiHidden/>
    <w:unhideWhenUsed/>
    <w:qFormat/>
    <w:uiPriority w:val="1"/>
  </w:style>
  <w:style w:type="table" w:default="1" w:styleId="75">
    <w:name w:val="Normal Table"/>
    <w:semiHidden/>
    <w:unhideWhenUsed/>
    <w:uiPriority w:val="99"/>
    <w:tblPr>
      <w:tblCellMar>
        <w:top w:w="0" w:type="dxa"/>
        <w:left w:w="108" w:type="dxa"/>
        <w:bottom w:w="0" w:type="dxa"/>
        <w:right w:w="108" w:type="dxa"/>
      </w:tblCellMar>
    </w:tblPr>
  </w:style>
  <w:style w:type="paragraph" w:styleId="2">
    <w:name w:val="macro"/>
    <w:semiHidden/>
    <w:qFormat/>
    <w:uiPriority w:val="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eastAsia="Times New Roman" w:cs="Times New Roman"/>
      <w:lang w:val="en-GB" w:eastAsia="en-US" w:bidi="ar-SA"/>
    </w:rPr>
  </w:style>
  <w:style w:type="paragraph" w:styleId="12">
    <w:name w:val="List 3"/>
    <w:basedOn w:val="1"/>
    <w:qFormat/>
    <w:uiPriority w:val="0"/>
    <w:pPr>
      <w:ind w:left="849" w:hanging="283"/>
    </w:pPr>
  </w:style>
  <w:style w:type="paragraph" w:styleId="13">
    <w:name w:val="List Number 2"/>
    <w:basedOn w:val="1"/>
    <w:qFormat/>
    <w:uiPriority w:val="0"/>
    <w:pPr>
      <w:numPr>
        <w:ilvl w:val="0"/>
        <w:numId w:val="2"/>
      </w:numPr>
    </w:pPr>
  </w:style>
  <w:style w:type="paragraph" w:styleId="14">
    <w:name w:val="Note Heading"/>
    <w:basedOn w:val="1"/>
    <w:next w:val="1"/>
    <w:qFormat/>
    <w:uiPriority w:val="0"/>
  </w:style>
  <w:style w:type="paragraph" w:styleId="15">
    <w:name w:val="List Bullet 4"/>
    <w:basedOn w:val="1"/>
    <w:autoRedefine/>
    <w:qFormat/>
    <w:uiPriority w:val="0"/>
    <w:pPr>
      <w:numPr>
        <w:ilvl w:val="0"/>
        <w:numId w:val="3"/>
      </w:numPr>
    </w:pPr>
  </w:style>
  <w:style w:type="paragraph" w:styleId="16">
    <w:name w:val="index 8"/>
    <w:basedOn w:val="1"/>
    <w:next w:val="1"/>
    <w:autoRedefine/>
    <w:semiHidden/>
    <w:qFormat/>
    <w:uiPriority w:val="0"/>
    <w:pPr>
      <w:ind w:left="1920" w:hanging="240"/>
    </w:pPr>
  </w:style>
  <w:style w:type="paragraph" w:styleId="17">
    <w:name w:val="E-mail Signature"/>
    <w:basedOn w:val="1"/>
    <w:qFormat/>
    <w:uiPriority w:val="0"/>
  </w:style>
  <w:style w:type="paragraph" w:styleId="18">
    <w:name w:val="List Number"/>
    <w:basedOn w:val="1"/>
    <w:qFormat/>
    <w:uiPriority w:val="0"/>
    <w:pPr>
      <w:numPr>
        <w:ilvl w:val="0"/>
        <w:numId w:val="4"/>
      </w:numPr>
    </w:pPr>
  </w:style>
  <w:style w:type="paragraph" w:styleId="19">
    <w:name w:val="Normal Indent"/>
    <w:basedOn w:val="1"/>
    <w:qFormat/>
    <w:uiPriority w:val="0"/>
    <w:pPr>
      <w:ind w:left="720"/>
    </w:pPr>
  </w:style>
  <w:style w:type="paragraph" w:styleId="20">
    <w:name w:val="caption"/>
    <w:basedOn w:val="1"/>
    <w:next w:val="1"/>
    <w:qFormat/>
    <w:uiPriority w:val="0"/>
    <w:pPr>
      <w:spacing w:before="120" w:after="120" w:line="240" w:lineRule="auto"/>
    </w:pPr>
    <w:rPr>
      <w:b/>
      <w:sz w:val="20"/>
    </w:rPr>
  </w:style>
  <w:style w:type="paragraph" w:styleId="21">
    <w:name w:val="index 5"/>
    <w:basedOn w:val="1"/>
    <w:next w:val="1"/>
    <w:autoRedefine/>
    <w:semiHidden/>
    <w:qFormat/>
    <w:uiPriority w:val="0"/>
    <w:pPr>
      <w:ind w:left="1200" w:hanging="240"/>
    </w:pPr>
  </w:style>
  <w:style w:type="paragraph" w:styleId="22">
    <w:name w:val="List Bullet"/>
    <w:basedOn w:val="1"/>
    <w:autoRedefine/>
    <w:qFormat/>
    <w:uiPriority w:val="0"/>
    <w:pPr>
      <w:numPr>
        <w:ilvl w:val="0"/>
        <w:numId w:val="5"/>
      </w:numPr>
      <w:spacing w:line="240" w:lineRule="auto"/>
    </w:pPr>
  </w:style>
  <w:style w:type="paragraph" w:styleId="23">
    <w:name w:val="envelope address"/>
    <w:basedOn w:val="1"/>
    <w:qFormat/>
    <w:uiPriority w:val="0"/>
    <w:pPr>
      <w:framePr w:w="7920" w:h="1980" w:hRule="exact" w:hSpace="180" w:wrap="auto" w:vAnchor="margin" w:hAnchor="page" w:xAlign="center" w:yAlign="bottom"/>
      <w:ind w:left="2880"/>
    </w:pPr>
    <w:rPr>
      <w:rFonts w:ascii="Arial" w:hAnsi="Arial"/>
      <w:szCs w:val="24"/>
    </w:rPr>
  </w:style>
  <w:style w:type="paragraph" w:styleId="24">
    <w:name w:val="Document Map"/>
    <w:basedOn w:val="1"/>
    <w:semiHidden/>
    <w:qFormat/>
    <w:uiPriority w:val="0"/>
    <w:pPr>
      <w:shd w:val="clear" w:color="auto" w:fill="000080"/>
    </w:pPr>
    <w:rPr>
      <w:rFonts w:ascii="Tahoma" w:hAnsi="Tahoma" w:cs="Tahoma"/>
    </w:rPr>
  </w:style>
  <w:style w:type="paragraph" w:styleId="25">
    <w:name w:val="annotation text"/>
    <w:basedOn w:val="1"/>
    <w:semiHidden/>
    <w:qFormat/>
    <w:uiPriority w:val="0"/>
    <w:pPr>
      <w:spacing w:line="240" w:lineRule="auto"/>
    </w:pPr>
    <w:rPr>
      <w:sz w:val="20"/>
    </w:rPr>
  </w:style>
  <w:style w:type="paragraph" w:styleId="26">
    <w:name w:val="index 6"/>
    <w:basedOn w:val="1"/>
    <w:next w:val="1"/>
    <w:autoRedefine/>
    <w:semiHidden/>
    <w:qFormat/>
    <w:uiPriority w:val="0"/>
    <w:pPr>
      <w:ind w:left="1440" w:hanging="240"/>
    </w:pPr>
  </w:style>
  <w:style w:type="paragraph" w:styleId="27">
    <w:name w:val="Salutation"/>
    <w:basedOn w:val="1"/>
    <w:next w:val="1"/>
    <w:qFormat/>
    <w:uiPriority w:val="0"/>
  </w:style>
  <w:style w:type="paragraph" w:styleId="28">
    <w:name w:val="Body Text 3"/>
    <w:basedOn w:val="1"/>
    <w:qFormat/>
    <w:uiPriority w:val="0"/>
    <w:pPr>
      <w:spacing w:after="120"/>
    </w:pPr>
    <w:rPr>
      <w:sz w:val="16"/>
      <w:szCs w:val="16"/>
    </w:rPr>
  </w:style>
  <w:style w:type="paragraph" w:styleId="29">
    <w:name w:val="Closing"/>
    <w:basedOn w:val="1"/>
    <w:qFormat/>
    <w:uiPriority w:val="0"/>
    <w:pPr>
      <w:ind w:left="4252"/>
    </w:pPr>
  </w:style>
  <w:style w:type="paragraph" w:styleId="30">
    <w:name w:val="List Bullet 3"/>
    <w:basedOn w:val="1"/>
    <w:autoRedefine/>
    <w:qFormat/>
    <w:uiPriority w:val="0"/>
    <w:pPr>
      <w:numPr>
        <w:ilvl w:val="0"/>
        <w:numId w:val="6"/>
      </w:numPr>
    </w:pPr>
  </w:style>
  <w:style w:type="paragraph" w:styleId="31">
    <w:name w:val="Body Text"/>
    <w:basedOn w:val="1"/>
    <w:uiPriority w:val="0"/>
    <w:pPr>
      <w:spacing w:after="120"/>
    </w:pPr>
  </w:style>
  <w:style w:type="paragraph" w:styleId="32">
    <w:name w:val="Body Text Indent"/>
    <w:basedOn w:val="1"/>
    <w:qFormat/>
    <w:uiPriority w:val="0"/>
    <w:pPr>
      <w:spacing w:after="120"/>
      <w:ind w:left="283"/>
    </w:pPr>
  </w:style>
  <w:style w:type="paragraph" w:styleId="33">
    <w:name w:val="List Number 3"/>
    <w:basedOn w:val="1"/>
    <w:qFormat/>
    <w:uiPriority w:val="0"/>
    <w:pPr>
      <w:numPr>
        <w:ilvl w:val="0"/>
        <w:numId w:val="7"/>
      </w:numPr>
    </w:pPr>
  </w:style>
  <w:style w:type="paragraph" w:styleId="34">
    <w:name w:val="List 2"/>
    <w:basedOn w:val="1"/>
    <w:qFormat/>
    <w:uiPriority w:val="0"/>
    <w:pPr>
      <w:ind w:left="566" w:hanging="283"/>
    </w:pPr>
  </w:style>
  <w:style w:type="paragraph" w:styleId="35">
    <w:name w:val="List Continue"/>
    <w:basedOn w:val="1"/>
    <w:qFormat/>
    <w:uiPriority w:val="0"/>
    <w:pPr>
      <w:spacing w:after="120"/>
      <w:ind w:left="283"/>
    </w:pPr>
  </w:style>
  <w:style w:type="paragraph" w:styleId="36">
    <w:name w:val="Block Text"/>
    <w:basedOn w:val="1"/>
    <w:qFormat/>
    <w:uiPriority w:val="0"/>
    <w:pPr>
      <w:spacing w:after="120"/>
      <w:ind w:left="1440" w:right="1440"/>
    </w:pPr>
  </w:style>
  <w:style w:type="paragraph" w:styleId="37">
    <w:name w:val="List Bullet 2"/>
    <w:basedOn w:val="1"/>
    <w:autoRedefine/>
    <w:qFormat/>
    <w:uiPriority w:val="0"/>
    <w:pPr>
      <w:numPr>
        <w:ilvl w:val="0"/>
        <w:numId w:val="8"/>
      </w:numPr>
    </w:pPr>
  </w:style>
  <w:style w:type="paragraph" w:styleId="38">
    <w:name w:val="HTML Address"/>
    <w:basedOn w:val="1"/>
    <w:qFormat/>
    <w:uiPriority w:val="0"/>
    <w:rPr>
      <w:i/>
      <w:iCs/>
    </w:rPr>
  </w:style>
  <w:style w:type="paragraph" w:styleId="39">
    <w:name w:val="index 4"/>
    <w:basedOn w:val="1"/>
    <w:next w:val="1"/>
    <w:autoRedefine/>
    <w:semiHidden/>
    <w:qFormat/>
    <w:uiPriority w:val="0"/>
    <w:pPr>
      <w:ind w:left="960" w:hanging="240"/>
    </w:pPr>
  </w:style>
  <w:style w:type="paragraph" w:styleId="40">
    <w:name w:val="Plain Text"/>
    <w:basedOn w:val="1"/>
    <w:qFormat/>
    <w:uiPriority w:val="0"/>
    <w:rPr>
      <w:rFonts w:ascii="Courier New" w:hAnsi="Courier New"/>
      <w:sz w:val="20"/>
    </w:rPr>
  </w:style>
  <w:style w:type="paragraph" w:styleId="41">
    <w:name w:val="List Bullet 5"/>
    <w:basedOn w:val="1"/>
    <w:autoRedefine/>
    <w:qFormat/>
    <w:uiPriority w:val="0"/>
    <w:pPr>
      <w:numPr>
        <w:ilvl w:val="0"/>
        <w:numId w:val="9"/>
      </w:numPr>
    </w:pPr>
  </w:style>
  <w:style w:type="paragraph" w:styleId="42">
    <w:name w:val="List Number 4"/>
    <w:basedOn w:val="1"/>
    <w:qFormat/>
    <w:uiPriority w:val="0"/>
    <w:pPr>
      <w:numPr>
        <w:ilvl w:val="0"/>
        <w:numId w:val="10"/>
      </w:numPr>
    </w:pPr>
  </w:style>
  <w:style w:type="paragraph" w:styleId="43">
    <w:name w:val="index 3"/>
    <w:basedOn w:val="1"/>
    <w:next w:val="1"/>
    <w:autoRedefine/>
    <w:semiHidden/>
    <w:qFormat/>
    <w:uiPriority w:val="0"/>
    <w:pPr>
      <w:ind w:left="720" w:hanging="240"/>
    </w:pPr>
  </w:style>
  <w:style w:type="paragraph" w:styleId="44">
    <w:name w:val="Date"/>
    <w:basedOn w:val="1"/>
    <w:next w:val="1"/>
    <w:qFormat/>
    <w:uiPriority w:val="0"/>
    <w:pPr>
      <w:spacing w:line="240" w:lineRule="auto"/>
    </w:pPr>
  </w:style>
  <w:style w:type="paragraph" w:styleId="45">
    <w:name w:val="Body Text Indent 2"/>
    <w:basedOn w:val="1"/>
    <w:qFormat/>
    <w:uiPriority w:val="0"/>
    <w:pPr>
      <w:spacing w:after="120" w:line="480" w:lineRule="auto"/>
      <w:ind w:left="283"/>
    </w:pPr>
  </w:style>
  <w:style w:type="paragraph" w:styleId="46">
    <w:name w:val="endnote text"/>
    <w:basedOn w:val="1"/>
    <w:semiHidden/>
    <w:qFormat/>
    <w:uiPriority w:val="0"/>
    <w:pPr>
      <w:spacing w:line="240" w:lineRule="auto"/>
    </w:pPr>
    <w:rPr>
      <w:sz w:val="20"/>
    </w:rPr>
  </w:style>
  <w:style w:type="paragraph" w:styleId="47">
    <w:name w:val="List Continue 5"/>
    <w:basedOn w:val="1"/>
    <w:qFormat/>
    <w:uiPriority w:val="0"/>
    <w:pPr>
      <w:spacing w:after="120"/>
      <w:ind w:left="1415"/>
    </w:pPr>
  </w:style>
  <w:style w:type="paragraph" w:styleId="48">
    <w:name w:val="Balloon Text"/>
    <w:basedOn w:val="1"/>
    <w:semiHidden/>
    <w:qFormat/>
    <w:uiPriority w:val="0"/>
    <w:rPr>
      <w:rFonts w:ascii="Tahoma" w:hAnsi="Tahoma" w:cs="Tahoma"/>
      <w:sz w:val="16"/>
      <w:szCs w:val="16"/>
    </w:rPr>
  </w:style>
  <w:style w:type="paragraph" w:styleId="49">
    <w:name w:val="footer"/>
    <w:basedOn w:val="1"/>
    <w:qFormat/>
    <w:uiPriority w:val="0"/>
    <w:pPr>
      <w:tabs>
        <w:tab w:val="center" w:pos="4153"/>
        <w:tab w:val="right" w:pos="8306"/>
      </w:tabs>
      <w:spacing w:line="240" w:lineRule="auto"/>
    </w:pPr>
    <w:rPr>
      <w:rFonts w:ascii="Arial" w:hAnsi="Arial"/>
      <w:sz w:val="20"/>
    </w:rPr>
  </w:style>
  <w:style w:type="paragraph" w:styleId="50">
    <w:name w:val="envelope return"/>
    <w:basedOn w:val="1"/>
    <w:qFormat/>
    <w:uiPriority w:val="0"/>
    <w:rPr>
      <w:rFonts w:ascii="Arial" w:hAnsi="Arial"/>
      <w:sz w:val="20"/>
    </w:rPr>
  </w:style>
  <w:style w:type="paragraph" w:styleId="51">
    <w:name w:val="header"/>
    <w:basedOn w:val="1"/>
    <w:qFormat/>
    <w:uiPriority w:val="0"/>
    <w:pPr>
      <w:tabs>
        <w:tab w:val="center" w:pos="4153"/>
        <w:tab w:val="right" w:pos="8306"/>
      </w:tabs>
      <w:spacing w:line="240" w:lineRule="auto"/>
    </w:pPr>
    <w:rPr>
      <w:sz w:val="18"/>
    </w:rPr>
  </w:style>
  <w:style w:type="paragraph" w:styleId="52">
    <w:name w:val="List Continue 4"/>
    <w:basedOn w:val="1"/>
    <w:qFormat/>
    <w:uiPriority w:val="0"/>
    <w:pPr>
      <w:spacing w:after="120"/>
      <w:ind w:left="1132"/>
    </w:pPr>
  </w:style>
  <w:style w:type="paragraph" w:styleId="53">
    <w:name w:val="index heading"/>
    <w:basedOn w:val="1"/>
    <w:next w:val="54"/>
    <w:semiHidden/>
    <w:qFormat/>
    <w:uiPriority w:val="0"/>
    <w:rPr>
      <w:rFonts w:ascii="Arial" w:hAnsi="Arial"/>
      <w:b/>
      <w:bCs/>
    </w:rPr>
  </w:style>
  <w:style w:type="paragraph" w:styleId="54">
    <w:name w:val="index 1"/>
    <w:basedOn w:val="1"/>
    <w:next w:val="1"/>
    <w:autoRedefine/>
    <w:semiHidden/>
    <w:qFormat/>
    <w:uiPriority w:val="0"/>
    <w:pPr>
      <w:ind w:left="240" w:hanging="240"/>
    </w:pPr>
  </w:style>
  <w:style w:type="paragraph" w:styleId="55">
    <w:name w:val="Subtitle"/>
    <w:basedOn w:val="1"/>
    <w:qFormat/>
    <w:uiPriority w:val="0"/>
    <w:pPr>
      <w:spacing w:after="60"/>
      <w:outlineLvl w:val="1"/>
    </w:pPr>
    <w:rPr>
      <w:i/>
    </w:rPr>
  </w:style>
  <w:style w:type="paragraph" w:styleId="56">
    <w:name w:val="List Number 5"/>
    <w:basedOn w:val="1"/>
    <w:qFormat/>
    <w:uiPriority w:val="0"/>
    <w:pPr>
      <w:numPr>
        <w:ilvl w:val="0"/>
        <w:numId w:val="11"/>
      </w:numPr>
    </w:pPr>
  </w:style>
  <w:style w:type="paragraph" w:styleId="57">
    <w:name w:val="List"/>
    <w:basedOn w:val="1"/>
    <w:qFormat/>
    <w:uiPriority w:val="0"/>
    <w:pPr>
      <w:ind w:left="283" w:hanging="283"/>
    </w:pPr>
  </w:style>
  <w:style w:type="paragraph" w:styleId="58">
    <w:name w:val="footnote text"/>
    <w:basedOn w:val="1"/>
    <w:semiHidden/>
    <w:qFormat/>
    <w:uiPriority w:val="0"/>
    <w:pPr>
      <w:spacing w:line="240" w:lineRule="auto"/>
    </w:pPr>
    <w:rPr>
      <w:sz w:val="20"/>
    </w:rPr>
  </w:style>
  <w:style w:type="paragraph" w:styleId="59">
    <w:name w:val="List 5"/>
    <w:basedOn w:val="1"/>
    <w:qFormat/>
    <w:uiPriority w:val="0"/>
    <w:pPr>
      <w:ind w:left="1415" w:hanging="283"/>
    </w:pPr>
  </w:style>
  <w:style w:type="paragraph" w:styleId="60">
    <w:name w:val="Body Text Indent 3"/>
    <w:basedOn w:val="1"/>
    <w:qFormat/>
    <w:uiPriority w:val="0"/>
    <w:pPr>
      <w:spacing w:after="120"/>
      <w:ind w:left="283"/>
    </w:pPr>
    <w:rPr>
      <w:sz w:val="16"/>
      <w:szCs w:val="16"/>
    </w:rPr>
  </w:style>
  <w:style w:type="paragraph" w:styleId="61">
    <w:name w:val="index 7"/>
    <w:basedOn w:val="1"/>
    <w:next w:val="1"/>
    <w:autoRedefine/>
    <w:semiHidden/>
    <w:qFormat/>
    <w:uiPriority w:val="0"/>
    <w:pPr>
      <w:ind w:left="1680" w:hanging="240"/>
    </w:pPr>
  </w:style>
  <w:style w:type="paragraph" w:styleId="62">
    <w:name w:val="index 9"/>
    <w:basedOn w:val="1"/>
    <w:next w:val="1"/>
    <w:autoRedefine/>
    <w:semiHidden/>
    <w:qFormat/>
    <w:uiPriority w:val="0"/>
    <w:pPr>
      <w:ind w:left="2160" w:hanging="240"/>
    </w:pPr>
  </w:style>
  <w:style w:type="paragraph" w:styleId="63">
    <w:name w:val="Body Text 2"/>
    <w:basedOn w:val="1"/>
    <w:qFormat/>
    <w:uiPriority w:val="0"/>
    <w:pPr>
      <w:spacing w:after="120" w:line="480" w:lineRule="auto"/>
    </w:pPr>
  </w:style>
  <w:style w:type="paragraph" w:styleId="64">
    <w:name w:val="List 4"/>
    <w:basedOn w:val="1"/>
    <w:qFormat/>
    <w:uiPriority w:val="0"/>
    <w:pPr>
      <w:ind w:left="1132" w:hanging="283"/>
    </w:pPr>
  </w:style>
  <w:style w:type="paragraph" w:styleId="65">
    <w:name w:val="List Continue 2"/>
    <w:basedOn w:val="1"/>
    <w:qFormat/>
    <w:uiPriority w:val="0"/>
    <w:pPr>
      <w:spacing w:after="120"/>
      <w:ind w:left="566"/>
    </w:pPr>
  </w:style>
  <w:style w:type="paragraph" w:styleId="66">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szCs w:val="24"/>
    </w:rPr>
  </w:style>
  <w:style w:type="paragraph" w:styleId="67">
    <w:name w:val="HTML Preformatted"/>
    <w:basedOn w:val="1"/>
    <w:qFormat/>
    <w:uiPriority w:val="0"/>
    <w:rPr>
      <w:rFonts w:ascii="Courier New" w:hAnsi="Courier New"/>
      <w:sz w:val="20"/>
    </w:rPr>
  </w:style>
  <w:style w:type="paragraph" w:styleId="68">
    <w:name w:val="Normal (Web)"/>
    <w:basedOn w:val="1"/>
    <w:qFormat/>
    <w:uiPriority w:val="0"/>
    <w:rPr>
      <w:szCs w:val="24"/>
    </w:rPr>
  </w:style>
  <w:style w:type="paragraph" w:styleId="69">
    <w:name w:val="List Continue 3"/>
    <w:basedOn w:val="1"/>
    <w:qFormat/>
    <w:uiPriority w:val="0"/>
    <w:pPr>
      <w:spacing w:after="120"/>
      <w:ind w:left="849"/>
    </w:pPr>
  </w:style>
  <w:style w:type="paragraph" w:styleId="70">
    <w:name w:val="index 2"/>
    <w:basedOn w:val="1"/>
    <w:next w:val="1"/>
    <w:autoRedefine/>
    <w:semiHidden/>
    <w:qFormat/>
    <w:uiPriority w:val="0"/>
    <w:pPr>
      <w:ind w:left="480" w:hanging="240"/>
    </w:pPr>
  </w:style>
  <w:style w:type="paragraph" w:styleId="71">
    <w:name w:val="Title"/>
    <w:basedOn w:val="1"/>
    <w:qFormat/>
    <w:uiPriority w:val="0"/>
    <w:pPr>
      <w:spacing w:before="60" w:after="60"/>
      <w:outlineLvl w:val="0"/>
    </w:pPr>
    <w:rPr>
      <w:b/>
      <w:sz w:val="28"/>
    </w:rPr>
  </w:style>
  <w:style w:type="paragraph" w:styleId="72">
    <w:name w:val="annotation subject"/>
    <w:basedOn w:val="25"/>
    <w:next w:val="25"/>
    <w:semiHidden/>
    <w:qFormat/>
    <w:uiPriority w:val="0"/>
    <w:pPr>
      <w:spacing w:line="300" w:lineRule="exact"/>
    </w:pPr>
    <w:rPr>
      <w:b/>
      <w:bCs/>
    </w:rPr>
  </w:style>
  <w:style w:type="paragraph" w:styleId="73">
    <w:name w:val="Body Text First Indent"/>
    <w:basedOn w:val="31"/>
    <w:qFormat/>
    <w:uiPriority w:val="0"/>
    <w:pPr>
      <w:ind w:firstLine="210"/>
    </w:pPr>
  </w:style>
  <w:style w:type="paragraph" w:styleId="74">
    <w:name w:val="Body Text First Indent 2"/>
    <w:basedOn w:val="32"/>
    <w:qFormat/>
    <w:uiPriority w:val="0"/>
    <w:pPr>
      <w:ind w:firstLine="210"/>
    </w:pPr>
  </w:style>
  <w:style w:type="character" w:styleId="77">
    <w:name w:val="endnote reference"/>
    <w:basedOn w:val="76"/>
    <w:semiHidden/>
    <w:qFormat/>
    <w:uiPriority w:val="0"/>
    <w:rPr>
      <w:vertAlign w:val="superscript"/>
    </w:rPr>
  </w:style>
  <w:style w:type="character" w:styleId="78">
    <w:name w:val="page number"/>
    <w:basedOn w:val="76"/>
    <w:qFormat/>
    <w:uiPriority w:val="0"/>
  </w:style>
  <w:style w:type="character" w:styleId="79">
    <w:name w:val="FollowedHyperlink"/>
    <w:basedOn w:val="76"/>
    <w:qFormat/>
    <w:uiPriority w:val="0"/>
    <w:rPr>
      <w:color w:val="800080"/>
      <w:u w:val="single"/>
    </w:rPr>
  </w:style>
  <w:style w:type="character" w:styleId="80">
    <w:name w:val="Emphasis"/>
    <w:basedOn w:val="76"/>
    <w:qFormat/>
    <w:uiPriority w:val="0"/>
    <w:rPr>
      <w:i/>
      <w:iCs/>
    </w:rPr>
  </w:style>
  <w:style w:type="character" w:styleId="81">
    <w:name w:val="line number"/>
    <w:basedOn w:val="76"/>
    <w:qFormat/>
    <w:uiPriority w:val="0"/>
  </w:style>
  <w:style w:type="character" w:styleId="82">
    <w:name w:val="HTML Definition"/>
    <w:basedOn w:val="76"/>
    <w:qFormat/>
    <w:uiPriority w:val="0"/>
    <w:rPr>
      <w:i/>
      <w:iCs/>
    </w:rPr>
  </w:style>
  <w:style w:type="character" w:styleId="83">
    <w:name w:val="HTML Typewriter"/>
    <w:basedOn w:val="76"/>
    <w:qFormat/>
    <w:uiPriority w:val="0"/>
    <w:rPr>
      <w:rFonts w:ascii="Courier New" w:hAnsi="Courier New"/>
      <w:sz w:val="20"/>
      <w:szCs w:val="20"/>
    </w:rPr>
  </w:style>
  <w:style w:type="character" w:styleId="84">
    <w:name w:val="HTML Acronym"/>
    <w:basedOn w:val="76"/>
    <w:qFormat/>
    <w:uiPriority w:val="0"/>
  </w:style>
  <w:style w:type="character" w:styleId="85">
    <w:name w:val="HTML Variable"/>
    <w:basedOn w:val="76"/>
    <w:qFormat/>
    <w:uiPriority w:val="0"/>
    <w:rPr>
      <w:i/>
      <w:iCs/>
    </w:rPr>
  </w:style>
  <w:style w:type="character" w:styleId="86">
    <w:name w:val="Hyperlink"/>
    <w:basedOn w:val="76"/>
    <w:qFormat/>
    <w:uiPriority w:val="0"/>
    <w:rPr>
      <w:color w:val="0000FF"/>
      <w:u w:val="single"/>
    </w:rPr>
  </w:style>
  <w:style w:type="character" w:styleId="87">
    <w:name w:val="HTML Code"/>
    <w:basedOn w:val="76"/>
    <w:qFormat/>
    <w:uiPriority w:val="0"/>
    <w:rPr>
      <w:rFonts w:ascii="Courier New" w:hAnsi="Courier New"/>
      <w:sz w:val="20"/>
      <w:szCs w:val="20"/>
    </w:rPr>
  </w:style>
  <w:style w:type="character" w:styleId="88">
    <w:name w:val="annotation reference"/>
    <w:basedOn w:val="76"/>
    <w:semiHidden/>
    <w:qFormat/>
    <w:uiPriority w:val="0"/>
    <w:rPr>
      <w:sz w:val="16"/>
    </w:rPr>
  </w:style>
  <w:style w:type="character" w:styleId="89">
    <w:name w:val="HTML Cite"/>
    <w:basedOn w:val="76"/>
    <w:qFormat/>
    <w:uiPriority w:val="0"/>
    <w:rPr>
      <w:i/>
      <w:iCs/>
    </w:rPr>
  </w:style>
  <w:style w:type="character" w:styleId="90">
    <w:name w:val="footnote reference"/>
    <w:basedOn w:val="76"/>
    <w:semiHidden/>
    <w:uiPriority w:val="0"/>
    <w:rPr>
      <w:vertAlign w:val="superscript"/>
    </w:rPr>
  </w:style>
  <w:style w:type="character" w:styleId="91">
    <w:name w:val="HTML Keyboard"/>
    <w:basedOn w:val="76"/>
    <w:qFormat/>
    <w:uiPriority w:val="0"/>
    <w:rPr>
      <w:rFonts w:ascii="Courier New" w:hAnsi="Courier New"/>
      <w:sz w:val="20"/>
      <w:szCs w:val="20"/>
    </w:rPr>
  </w:style>
  <w:style w:type="character" w:styleId="92">
    <w:name w:val="HTML Sample"/>
    <w:basedOn w:val="76"/>
    <w:qFormat/>
    <w:uiPriority w:val="0"/>
    <w:rPr>
      <w:rFonts w:ascii="Courier New" w:hAnsi="Courier New"/>
    </w:rPr>
  </w:style>
  <w:style w:type="paragraph" w:customStyle="1" w:styleId="93">
    <w:name w:val="AmendmentNote"/>
    <w:basedOn w:val="94"/>
    <w:qFormat/>
    <w:uiPriority w:val="0"/>
  </w:style>
  <w:style w:type="paragraph" w:customStyle="1" w:styleId="94">
    <w:name w:val="MoreInfo"/>
    <w:basedOn w:val="1"/>
    <w:qFormat/>
    <w:uiPriority w:val="0"/>
    <w:pPr>
      <w:spacing w:before="120" w:line="240" w:lineRule="auto"/>
    </w:pPr>
  </w:style>
  <w:style w:type="paragraph" w:customStyle="1" w:styleId="95">
    <w:name w:val="Abbreviations"/>
    <w:basedOn w:val="1"/>
    <w:qFormat/>
    <w:uiPriority w:val="0"/>
    <w:pPr>
      <w:spacing w:line="240" w:lineRule="auto"/>
    </w:pPr>
  </w:style>
  <w:style w:type="paragraph" w:customStyle="1" w:styleId="96">
    <w:name w:val="AbstractPara"/>
    <w:basedOn w:val="1"/>
    <w:qFormat/>
    <w:uiPriority w:val="0"/>
    <w:pPr>
      <w:spacing w:line="240" w:lineRule="auto"/>
    </w:pPr>
  </w:style>
  <w:style w:type="paragraph" w:customStyle="1" w:styleId="97">
    <w:name w:val="AbstractTitle"/>
    <w:basedOn w:val="1"/>
    <w:next w:val="96"/>
    <w:qFormat/>
    <w:uiPriority w:val="0"/>
    <w:pPr>
      <w:spacing w:before="120" w:line="240" w:lineRule="exact"/>
      <w:outlineLvl w:val="1"/>
    </w:pPr>
    <w:rPr>
      <w:b/>
      <w:sz w:val="26"/>
    </w:rPr>
  </w:style>
  <w:style w:type="paragraph" w:customStyle="1" w:styleId="98">
    <w:name w:val="Accepted"/>
    <w:basedOn w:val="1"/>
    <w:qFormat/>
    <w:uiPriority w:val="0"/>
    <w:pPr>
      <w:spacing w:before="120" w:line="240" w:lineRule="exact"/>
    </w:pPr>
  </w:style>
  <w:style w:type="paragraph" w:customStyle="1" w:styleId="99">
    <w:name w:val="Acknowledge"/>
    <w:basedOn w:val="1"/>
    <w:qFormat/>
    <w:uiPriority w:val="0"/>
    <w:pPr>
      <w:spacing w:line="240" w:lineRule="auto"/>
    </w:pPr>
  </w:style>
  <w:style w:type="paragraph" w:customStyle="1" w:styleId="100">
    <w:name w:val="Address"/>
    <w:basedOn w:val="1"/>
    <w:qFormat/>
    <w:uiPriority w:val="0"/>
    <w:pPr>
      <w:spacing w:before="80" w:line="240" w:lineRule="auto"/>
    </w:pPr>
    <w:rPr>
      <w:b/>
    </w:rPr>
  </w:style>
  <w:style w:type="paragraph" w:customStyle="1" w:styleId="101">
    <w:name w:val="Author"/>
    <w:basedOn w:val="1"/>
    <w:next w:val="1"/>
    <w:qFormat/>
    <w:uiPriority w:val="0"/>
    <w:pPr>
      <w:spacing w:before="80" w:line="240" w:lineRule="auto"/>
    </w:pPr>
  </w:style>
  <w:style w:type="paragraph" w:customStyle="1" w:styleId="102">
    <w:name w:val="AuthoredBy"/>
    <w:basedOn w:val="1"/>
    <w:qFormat/>
    <w:uiPriority w:val="0"/>
    <w:pPr>
      <w:spacing w:line="240" w:lineRule="auto"/>
    </w:pPr>
  </w:style>
  <w:style w:type="paragraph" w:customStyle="1" w:styleId="103">
    <w:name w:val="Banner"/>
    <w:basedOn w:val="1"/>
    <w:qFormat/>
    <w:uiPriority w:val="0"/>
    <w:pPr>
      <w:spacing w:before="120" w:line="280" w:lineRule="exact"/>
    </w:pPr>
    <w:rPr>
      <w:i/>
      <w:sz w:val="28"/>
    </w:rPr>
  </w:style>
  <w:style w:type="paragraph" w:customStyle="1" w:styleId="104">
    <w:name w:val="BoxEnd"/>
    <w:basedOn w:val="1"/>
    <w:qFormat/>
    <w:uiPriority w:val="0"/>
    <w:pPr>
      <w:pBdr>
        <w:bottom w:val="single" w:color="auto" w:sz="12" w:space="1"/>
        <w:right w:val="single" w:color="auto" w:sz="12" w:space="1"/>
      </w:pBdr>
      <w:spacing w:after="120" w:line="240" w:lineRule="auto"/>
    </w:pPr>
  </w:style>
  <w:style w:type="paragraph" w:customStyle="1" w:styleId="105">
    <w:name w:val="BoxStart1"/>
    <w:basedOn w:val="1"/>
    <w:qFormat/>
    <w:uiPriority w:val="0"/>
    <w:pPr>
      <w:pBdr>
        <w:top w:val="single" w:color="auto" w:sz="12" w:space="1"/>
        <w:left w:val="single" w:color="auto" w:sz="12" w:space="1"/>
      </w:pBdr>
      <w:spacing w:line="240" w:lineRule="auto"/>
    </w:pPr>
  </w:style>
  <w:style w:type="paragraph" w:customStyle="1" w:styleId="106">
    <w:name w:val="BoxStart2"/>
    <w:basedOn w:val="105"/>
    <w:qFormat/>
    <w:uiPriority w:val="0"/>
  </w:style>
  <w:style w:type="paragraph" w:customStyle="1" w:styleId="107">
    <w:name w:val="BoxStart3"/>
    <w:basedOn w:val="105"/>
    <w:qFormat/>
    <w:uiPriority w:val="0"/>
  </w:style>
  <w:style w:type="paragraph" w:customStyle="1" w:styleId="108">
    <w:name w:val="Conflict"/>
    <w:basedOn w:val="1"/>
    <w:qFormat/>
    <w:uiPriority w:val="0"/>
    <w:pPr>
      <w:spacing w:before="120" w:after="120" w:line="240" w:lineRule="auto"/>
    </w:pPr>
  </w:style>
  <w:style w:type="paragraph" w:customStyle="1" w:styleId="109">
    <w:name w:val="Correspdent"/>
    <w:basedOn w:val="1"/>
    <w:qFormat/>
    <w:uiPriority w:val="0"/>
    <w:pPr>
      <w:spacing w:line="240" w:lineRule="auto"/>
    </w:pPr>
  </w:style>
  <w:style w:type="paragraph" w:customStyle="1" w:styleId="110">
    <w:name w:val="Credit"/>
    <w:basedOn w:val="20"/>
    <w:qFormat/>
    <w:uiPriority w:val="0"/>
    <w:rPr>
      <w:sz w:val="18"/>
    </w:rPr>
  </w:style>
  <w:style w:type="paragraph" w:customStyle="1" w:styleId="111">
    <w:name w:val="Article"/>
    <w:basedOn w:val="1"/>
    <w:qFormat/>
    <w:uiPriority w:val="0"/>
    <w:pPr>
      <w:keepNext/>
      <w:suppressAutoHyphens/>
      <w:spacing w:before="120" w:after="60" w:line="240" w:lineRule="auto"/>
    </w:pPr>
    <w:rPr>
      <w:rFonts w:ascii="Arial" w:hAnsi="Arial"/>
      <w:b/>
      <w:sz w:val="18"/>
    </w:rPr>
  </w:style>
  <w:style w:type="paragraph" w:customStyle="1" w:styleId="112">
    <w:name w:val="Para"/>
    <w:basedOn w:val="1"/>
    <w:qFormat/>
    <w:uiPriority w:val="0"/>
    <w:pPr>
      <w:spacing w:line="360" w:lineRule="auto"/>
      <w:ind w:firstLine="288"/>
    </w:pPr>
  </w:style>
  <w:style w:type="paragraph" w:customStyle="1" w:styleId="113">
    <w:name w:val="EdFtNote"/>
    <w:basedOn w:val="112"/>
    <w:qFormat/>
    <w:uiPriority w:val="0"/>
    <w:pPr>
      <w:spacing w:before="60"/>
      <w:ind w:firstLine="0"/>
    </w:pPr>
  </w:style>
  <w:style w:type="paragraph" w:customStyle="1" w:styleId="114">
    <w:name w:val="IndentQuote"/>
    <w:basedOn w:val="1"/>
    <w:qFormat/>
    <w:uiPriority w:val="0"/>
    <w:pPr>
      <w:spacing w:before="60" w:line="240" w:lineRule="exact"/>
      <w:ind w:left="288" w:right="288"/>
    </w:pPr>
  </w:style>
  <w:style w:type="paragraph" w:customStyle="1" w:styleId="115">
    <w:name w:val="Epigraph"/>
    <w:basedOn w:val="114"/>
    <w:qFormat/>
    <w:uiPriority w:val="0"/>
  </w:style>
  <w:style w:type="paragraph" w:customStyle="1" w:styleId="116">
    <w:name w:val="Equation"/>
    <w:basedOn w:val="1"/>
    <w:qFormat/>
    <w:uiPriority w:val="0"/>
    <w:pPr>
      <w:spacing w:line="240" w:lineRule="auto"/>
    </w:pPr>
    <w:rPr>
      <w:b/>
      <w:i/>
    </w:rPr>
  </w:style>
  <w:style w:type="paragraph" w:customStyle="1" w:styleId="117">
    <w:name w:val="FigLeg"/>
    <w:basedOn w:val="1"/>
    <w:qFormat/>
    <w:uiPriority w:val="0"/>
    <w:pPr>
      <w:spacing w:line="240" w:lineRule="auto"/>
    </w:pPr>
  </w:style>
  <w:style w:type="paragraph" w:customStyle="1" w:styleId="118">
    <w:name w:val="Figure"/>
    <w:basedOn w:val="1"/>
    <w:qFormat/>
    <w:uiPriority w:val="0"/>
    <w:pPr>
      <w:numPr>
        <w:ilvl w:val="0"/>
        <w:numId w:val="12"/>
      </w:numPr>
      <w:tabs>
        <w:tab w:val="left" w:pos="720"/>
        <w:tab w:val="clear" w:pos="2160"/>
      </w:tabs>
      <w:ind w:left="0" w:firstLine="0"/>
    </w:pPr>
    <w:rPr>
      <w:b/>
    </w:rPr>
  </w:style>
  <w:style w:type="character" w:customStyle="1" w:styleId="119">
    <w:name w:val="FigureRef"/>
    <w:basedOn w:val="76"/>
    <w:qFormat/>
    <w:uiPriority w:val="0"/>
    <w:rPr>
      <w:color w:val="0000FF"/>
      <w:vertAlign w:val="superscript"/>
    </w:rPr>
  </w:style>
  <w:style w:type="character" w:customStyle="1" w:styleId="120">
    <w:name w:val="FnoteRef"/>
    <w:basedOn w:val="76"/>
    <w:qFormat/>
    <w:uiPriority w:val="0"/>
    <w:rPr>
      <w:color w:val="FF0000"/>
      <w:vertAlign w:val="superscript"/>
    </w:rPr>
  </w:style>
  <w:style w:type="paragraph" w:customStyle="1" w:styleId="121">
    <w:name w:val="Footnote"/>
    <w:basedOn w:val="1"/>
    <w:qFormat/>
    <w:uiPriority w:val="0"/>
    <w:pPr>
      <w:spacing w:line="240" w:lineRule="auto"/>
    </w:pPr>
  </w:style>
  <w:style w:type="paragraph" w:customStyle="1" w:styleId="122">
    <w:name w:val="Funding"/>
    <w:basedOn w:val="1"/>
    <w:qFormat/>
    <w:uiPriority w:val="0"/>
    <w:pPr>
      <w:spacing w:after="120" w:line="240" w:lineRule="auto"/>
    </w:pPr>
  </w:style>
  <w:style w:type="paragraph" w:customStyle="1" w:styleId="123">
    <w:name w:val="GroupTitle"/>
    <w:basedOn w:val="71"/>
    <w:next w:val="71"/>
    <w:qFormat/>
    <w:uiPriority w:val="0"/>
  </w:style>
  <w:style w:type="paragraph" w:customStyle="1" w:styleId="124">
    <w:name w:val="HeadA"/>
    <w:basedOn w:val="1"/>
    <w:qFormat/>
    <w:uiPriority w:val="0"/>
    <w:pPr>
      <w:keepNext/>
      <w:suppressAutoHyphens/>
      <w:spacing w:before="120" w:line="280" w:lineRule="exact"/>
      <w:outlineLvl w:val="1"/>
    </w:pPr>
    <w:rPr>
      <w:b/>
    </w:rPr>
  </w:style>
  <w:style w:type="paragraph" w:customStyle="1" w:styleId="125">
    <w:name w:val="HeadB"/>
    <w:basedOn w:val="1"/>
    <w:qFormat/>
    <w:uiPriority w:val="0"/>
    <w:pPr>
      <w:keepNext/>
      <w:suppressAutoHyphens/>
      <w:spacing w:before="60" w:line="280" w:lineRule="exact"/>
      <w:outlineLvl w:val="2"/>
    </w:pPr>
    <w:rPr>
      <w:b/>
      <w:sz w:val="20"/>
    </w:rPr>
  </w:style>
  <w:style w:type="paragraph" w:customStyle="1" w:styleId="126">
    <w:name w:val="HeadC"/>
    <w:basedOn w:val="1"/>
    <w:qFormat/>
    <w:uiPriority w:val="0"/>
    <w:pPr>
      <w:keepNext/>
      <w:suppressAutoHyphens/>
      <w:spacing w:before="60" w:line="280" w:lineRule="exact"/>
      <w:outlineLvl w:val="3"/>
    </w:pPr>
    <w:rPr>
      <w:i/>
      <w:sz w:val="20"/>
    </w:rPr>
  </w:style>
  <w:style w:type="paragraph" w:customStyle="1" w:styleId="127">
    <w:name w:val="Keywords"/>
    <w:basedOn w:val="1"/>
    <w:qFormat/>
    <w:uiPriority w:val="0"/>
    <w:pPr>
      <w:spacing w:line="240" w:lineRule="auto"/>
    </w:pPr>
  </w:style>
  <w:style w:type="paragraph" w:customStyle="1" w:styleId="128">
    <w:name w:val="List1"/>
    <w:basedOn w:val="1"/>
    <w:qFormat/>
    <w:uiPriority w:val="0"/>
    <w:pPr>
      <w:spacing w:before="40" w:after="120" w:line="240" w:lineRule="exact"/>
    </w:pPr>
  </w:style>
  <w:style w:type="paragraph" w:customStyle="1" w:styleId="129">
    <w:name w:val="List2"/>
    <w:basedOn w:val="1"/>
    <w:qFormat/>
    <w:uiPriority w:val="0"/>
    <w:pPr>
      <w:spacing w:before="40" w:line="240" w:lineRule="exact"/>
      <w:ind w:left="720"/>
    </w:pPr>
  </w:style>
  <w:style w:type="paragraph" w:customStyle="1" w:styleId="130">
    <w:name w:val="ListPara"/>
    <w:basedOn w:val="1"/>
    <w:qFormat/>
    <w:uiPriority w:val="0"/>
    <w:pPr>
      <w:spacing w:line="240" w:lineRule="auto"/>
      <w:ind w:left="720"/>
    </w:pPr>
  </w:style>
  <w:style w:type="paragraph" w:customStyle="1" w:styleId="131">
    <w:name w:val="Miscellaneous"/>
    <w:basedOn w:val="1"/>
    <w:qFormat/>
    <w:uiPriority w:val="0"/>
    <w:pPr>
      <w:spacing w:before="120" w:line="240" w:lineRule="exact"/>
    </w:pPr>
  </w:style>
  <w:style w:type="paragraph" w:customStyle="1" w:styleId="132">
    <w:name w:val="MoreInfoWeb"/>
    <w:basedOn w:val="1"/>
    <w:qFormat/>
    <w:uiPriority w:val="0"/>
    <w:pPr>
      <w:spacing w:before="120" w:line="240" w:lineRule="exact"/>
    </w:pPr>
  </w:style>
  <w:style w:type="character" w:customStyle="1" w:styleId="133">
    <w:name w:val="Noindex"/>
    <w:qFormat/>
    <w:uiPriority w:val="0"/>
    <w:rPr>
      <w:color w:val="FF6600"/>
    </w:rPr>
  </w:style>
  <w:style w:type="paragraph" w:customStyle="1" w:styleId="134">
    <w:name w:val="ParaCont"/>
    <w:basedOn w:val="1"/>
    <w:qFormat/>
    <w:uiPriority w:val="0"/>
    <w:pPr>
      <w:spacing w:line="360" w:lineRule="auto"/>
    </w:pPr>
  </w:style>
  <w:style w:type="paragraph" w:customStyle="1" w:styleId="135">
    <w:name w:val="HeadE"/>
    <w:basedOn w:val="136"/>
    <w:qFormat/>
    <w:uiPriority w:val="0"/>
    <w:rPr>
      <w:b w:val="0"/>
      <w:i/>
    </w:rPr>
  </w:style>
  <w:style w:type="paragraph" w:customStyle="1" w:styleId="136">
    <w:name w:val="HeadD"/>
    <w:basedOn w:val="125"/>
    <w:next w:val="1"/>
    <w:qFormat/>
    <w:uiPriority w:val="0"/>
    <w:pPr>
      <w:outlineLvl w:val="4"/>
    </w:pPr>
    <w:rPr>
      <w:sz w:val="16"/>
    </w:rPr>
  </w:style>
  <w:style w:type="paragraph" w:customStyle="1" w:styleId="137">
    <w:name w:val="Participators"/>
    <w:basedOn w:val="1"/>
    <w:qFormat/>
    <w:uiPriority w:val="0"/>
    <w:pPr>
      <w:spacing w:before="120" w:after="120"/>
    </w:pPr>
  </w:style>
  <w:style w:type="paragraph" w:customStyle="1" w:styleId="138">
    <w:name w:val="GroupAuthor"/>
    <w:basedOn w:val="101"/>
    <w:qFormat/>
    <w:uiPriority w:val="0"/>
    <w:rPr>
      <w:b/>
      <w:i/>
    </w:rPr>
  </w:style>
  <w:style w:type="paragraph" w:customStyle="1" w:styleId="139">
    <w:name w:val="Position"/>
    <w:basedOn w:val="1"/>
    <w:next w:val="1"/>
    <w:qFormat/>
    <w:uiPriority w:val="0"/>
    <w:pPr>
      <w:spacing w:line="240" w:lineRule="auto"/>
    </w:pPr>
    <w:rPr>
      <w:i/>
    </w:rPr>
  </w:style>
  <w:style w:type="paragraph" w:customStyle="1" w:styleId="140">
    <w:name w:val="ProductAuth"/>
    <w:basedOn w:val="100"/>
    <w:qFormat/>
    <w:uiPriority w:val="0"/>
  </w:style>
  <w:style w:type="paragraph" w:customStyle="1" w:styleId="141">
    <w:name w:val="ProductDetails"/>
    <w:basedOn w:val="112"/>
    <w:qFormat/>
    <w:uiPriority w:val="0"/>
  </w:style>
  <w:style w:type="paragraph" w:customStyle="1" w:styleId="142">
    <w:name w:val="QuoteRef"/>
    <w:basedOn w:val="1"/>
    <w:qFormat/>
    <w:uiPriority w:val="0"/>
    <w:pPr>
      <w:spacing w:after="60"/>
    </w:pPr>
  </w:style>
  <w:style w:type="paragraph" w:customStyle="1" w:styleId="143">
    <w:name w:val="Rating"/>
    <w:basedOn w:val="112"/>
    <w:qFormat/>
    <w:uiPriority w:val="0"/>
    <w:pPr>
      <w:ind w:firstLine="0"/>
    </w:pPr>
  </w:style>
  <w:style w:type="paragraph" w:customStyle="1" w:styleId="144">
    <w:name w:val="Reference"/>
    <w:basedOn w:val="1"/>
    <w:qFormat/>
    <w:uiPriority w:val="0"/>
    <w:pPr>
      <w:numPr>
        <w:ilvl w:val="0"/>
        <w:numId w:val="13"/>
      </w:numPr>
      <w:spacing w:before="40" w:line="360" w:lineRule="auto"/>
      <w:ind w:left="461" w:hanging="173"/>
    </w:pPr>
  </w:style>
  <w:style w:type="paragraph" w:customStyle="1" w:styleId="145">
    <w:name w:val="RelatedTo"/>
    <w:basedOn w:val="1"/>
    <w:qFormat/>
    <w:uiPriority w:val="0"/>
  </w:style>
  <w:style w:type="paragraph" w:customStyle="1" w:styleId="146">
    <w:name w:val="RelatedToWeb"/>
    <w:basedOn w:val="1"/>
    <w:qFormat/>
    <w:uiPriority w:val="0"/>
  </w:style>
  <w:style w:type="paragraph" w:customStyle="1" w:styleId="147">
    <w:name w:val="Reviewed"/>
    <w:basedOn w:val="134"/>
    <w:qFormat/>
    <w:uiPriority w:val="0"/>
  </w:style>
  <w:style w:type="paragraph" w:customStyle="1" w:styleId="148">
    <w:name w:val="ShortAuthor"/>
    <w:basedOn w:val="1"/>
    <w:qFormat/>
    <w:uiPriority w:val="0"/>
    <w:rPr>
      <w:i/>
    </w:rPr>
  </w:style>
  <w:style w:type="paragraph" w:customStyle="1" w:styleId="149">
    <w:name w:val="ShortTitle"/>
    <w:basedOn w:val="1"/>
    <w:qFormat/>
    <w:uiPriority w:val="0"/>
    <w:rPr>
      <w:rFonts w:ascii="Arial" w:hAnsi="Arial"/>
      <w:i/>
      <w:sz w:val="20"/>
    </w:rPr>
  </w:style>
  <w:style w:type="paragraph" w:customStyle="1" w:styleId="150">
    <w:name w:val="SourceRef"/>
    <w:basedOn w:val="112"/>
    <w:qFormat/>
    <w:uiPriority w:val="0"/>
    <w:pPr>
      <w:ind w:firstLine="0"/>
    </w:pPr>
  </w:style>
  <w:style w:type="paragraph" w:customStyle="1" w:styleId="151">
    <w:name w:val="Standfirst"/>
    <w:basedOn w:val="98"/>
    <w:qFormat/>
    <w:uiPriority w:val="0"/>
  </w:style>
  <w:style w:type="paragraph" w:customStyle="1" w:styleId="152">
    <w:name w:val="Subtitle1"/>
    <w:basedOn w:val="55"/>
    <w:qFormat/>
    <w:uiPriority w:val="0"/>
  </w:style>
  <w:style w:type="paragraph" w:customStyle="1" w:styleId="153">
    <w:name w:val="Table"/>
    <w:basedOn w:val="1"/>
    <w:qFormat/>
    <w:uiPriority w:val="0"/>
    <w:pPr>
      <w:numPr>
        <w:ilvl w:val="0"/>
        <w:numId w:val="14"/>
      </w:numPr>
      <w:tabs>
        <w:tab w:val="left" w:pos="1021"/>
        <w:tab w:val="clear" w:pos="1440"/>
      </w:tabs>
    </w:pPr>
    <w:rPr>
      <w:i/>
    </w:rPr>
  </w:style>
  <w:style w:type="paragraph" w:customStyle="1" w:styleId="154">
    <w:name w:val="TableNote"/>
    <w:basedOn w:val="1"/>
    <w:qFormat/>
    <w:uiPriority w:val="0"/>
  </w:style>
  <w:style w:type="character" w:customStyle="1" w:styleId="155">
    <w:name w:val="TableRef"/>
    <w:basedOn w:val="76"/>
    <w:qFormat/>
    <w:uiPriority w:val="0"/>
    <w:rPr>
      <w:color w:val="0000FF"/>
      <w:vertAlign w:val="superscript"/>
    </w:rPr>
  </w:style>
  <w:style w:type="paragraph" w:customStyle="1" w:styleId="156">
    <w:name w:val="TableTitle"/>
    <w:basedOn w:val="1"/>
    <w:qFormat/>
    <w:uiPriority w:val="0"/>
  </w:style>
  <w:style w:type="paragraph" w:customStyle="1" w:styleId="157">
    <w:name w:val="Topic"/>
    <w:basedOn w:val="1"/>
    <w:qFormat/>
    <w:uiPriority w:val="0"/>
    <w:pPr>
      <w:spacing w:before="40" w:line="260" w:lineRule="exact"/>
    </w:pPr>
    <w:rPr>
      <w:i/>
      <w:color w:val="0000FF"/>
    </w:rPr>
  </w:style>
  <w:style w:type="character" w:customStyle="1" w:styleId="158">
    <w:name w:val="URL"/>
    <w:basedOn w:val="76"/>
    <w:qFormat/>
    <w:uiPriority w:val="0"/>
    <w:rPr>
      <w:color w:val="666699"/>
    </w:rPr>
  </w:style>
  <w:style w:type="paragraph" w:customStyle="1" w:styleId="159">
    <w:name w:val="WebRef"/>
    <w:basedOn w:val="1"/>
    <w:qFormat/>
    <w:uiPriority w:val="0"/>
    <w:pPr>
      <w:numPr>
        <w:ilvl w:val="0"/>
        <w:numId w:val="15"/>
      </w:numPr>
      <w:tabs>
        <w:tab w:val="left" w:pos="720"/>
        <w:tab w:val="clear" w:pos="1800"/>
      </w:tabs>
      <w:ind w:left="360"/>
    </w:pPr>
  </w:style>
  <w:style w:type="character" w:customStyle="1" w:styleId="160">
    <w:name w:val="XRef"/>
    <w:basedOn w:val="76"/>
    <w:qFormat/>
    <w:uiPriority w:val="0"/>
    <w:rPr>
      <w:color w:val="0000FF"/>
      <w:vertAlign w:val="superscript"/>
    </w:rPr>
  </w:style>
  <w:style w:type="character" w:customStyle="1" w:styleId="161">
    <w:name w:val="wXRef"/>
    <w:basedOn w:val="160"/>
    <w:qFormat/>
    <w:uiPriority w:val="0"/>
    <w:rPr>
      <w:color w:val="0000FF"/>
      <w:vertAlign w:val="superscript"/>
    </w:rPr>
  </w:style>
  <w:style w:type="character" w:customStyle="1" w:styleId="162">
    <w:name w:val="email"/>
    <w:basedOn w:val="158"/>
    <w:qFormat/>
    <w:uiPriority w:val="0"/>
    <w:rPr>
      <w:color w:val="666699"/>
    </w:rPr>
  </w:style>
  <w:style w:type="paragraph" w:customStyle="1" w:styleId="163">
    <w:name w:val="BoxStartx"/>
    <w:basedOn w:val="105"/>
    <w:qFormat/>
    <w:uiPriority w:val="0"/>
  </w:style>
  <w:style w:type="character" w:customStyle="1" w:styleId="164">
    <w:name w:val="ParaHead"/>
    <w:basedOn w:val="76"/>
    <w:qFormat/>
    <w:uiPriority w:val="0"/>
    <w:rPr>
      <w:color w:val="999999"/>
      <w:shd w:val="clear" w:color="auto" w:fill="auto"/>
    </w:rPr>
  </w:style>
  <w:style w:type="paragraph" w:customStyle="1" w:styleId="165">
    <w:name w:val="ObitBiog"/>
    <w:basedOn w:val="112"/>
    <w:qFormat/>
    <w:uiPriority w:val="0"/>
    <w:pPr>
      <w:spacing w:before="120" w:line="260" w:lineRule="exact"/>
      <w:ind w:firstLine="0"/>
    </w:pPr>
    <w:rPr>
      <w:b/>
      <w:i/>
      <w:sz w:val="22"/>
    </w:rPr>
  </w:style>
  <w:style w:type="paragraph" w:customStyle="1" w:styleId="166">
    <w:name w:val="TableHeader"/>
    <w:basedOn w:val="112"/>
    <w:qFormat/>
    <w:uiPriority w:val="0"/>
    <w:pPr>
      <w:spacing w:before="120" w:line="240" w:lineRule="auto"/>
      <w:ind w:firstLine="0"/>
    </w:pPr>
    <w:rPr>
      <w:b/>
    </w:rPr>
  </w:style>
  <w:style w:type="character" w:customStyle="1" w:styleId="167">
    <w:name w:val="Image"/>
    <w:basedOn w:val="133"/>
    <w:qFormat/>
    <w:uiPriority w:val="0"/>
    <w:rPr>
      <w:b/>
      <w:color w:val="00FF00"/>
    </w:rPr>
  </w:style>
  <w:style w:type="paragraph" w:customStyle="1" w:styleId="168">
    <w:name w:val="TableSubHead"/>
    <w:basedOn w:val="166"/>
    <w:qFormat/>
    <w:uiPriority w:val="0"/>
  </w:style>
  <w:style w:type="paragraph" w:customStyle="1" w:styleId="169">
    <w:name w:val="ArtGroup"/>
    <w:basedOn w:val="111"/>
    <w:qFormat/>
    <w:uiPriority w:val="0"/>
    <w:rPr>
      <w:sz w:val="22"/>
    </w:rPr>
  </w:style>
  <w:style w:type="paragraph" w:customStyle="1" w:styleId="170">
    <w:name w:val="Biog"/>
    <w:basedOn w:val="94"/>
    <w:qFormat/>
    <w:uiPriority w:val="0"/>
  </w:style>
  <w:style w:type="paragraph" w:customStyle="1" w:styleId="171">
    <w:name w:val="SearchInfo"/>
    <w:basedOn w:val="1"/>
    <w:qFormat/>
    <w:uiPriority w:val="0"/>
    <w:pPr>
      <w:spacing w:before="120" w:line="240" w:lineRule="exact"/>
    </w:pPr>
  </w:style>
  <w:style w:type="paragraph" w:customStyle="1" w:styleId="172">
    <w:name w:val="SeriesInfo"/>
    <w:basedOn w:val="1"/>
    <w:qFormat/>
    <w:uiPriority w:val="0"/>
    <w:pPr>
      <w:spacing w:before="120" w:line="240" w:lineRule="exact"/>
    </w:pPr>
  </w:style>
  <w:style w:type="paragraph" w:customStyle="1" w:styleId="173">
    <w:name w:val="Remark"/>
    <w:basedOn w:val="1"/>
    <w:qFormat/>
    <w:uiPriority w:val="0"/>
    <w:rPr>
      <w:color w:val="FF0000"/>
    </w:rPr>
  </w:style>
  <w:style w:type="paragraph" w:customStyle="1" w:styleId="174">
    <w:name w:val="BoxStart4"/>
    <w:basedOn w:val="107"/>
    <w:qFormat/>
    <w:uiPriority w:val="0"/>
  </w:style>
  <w:style w:type="paragraph" w:customStyle="1" w:styleId="175">
    <w:name w:val="Bibliography"/>
    <w:basedOn w:val="144"/>
    <w:qFormat/>
    <w:uiPriority w:val="0"/>
    <w:pPr>
      <w:numPr>
        <w:ilvl w:val="0"/>
        <w:numId w:val="0"/>
      </w:numPr>
    </w:pPr>
  </w:style>
  <w:style w:type="paragraph" w:customStyle="1" w:styleId="176">
    <w:name w:val="PullQuote"/>
    <w:basedOn w:val="114"/>
    <w:qFormat/>
    <w:uiPriority w:val="0"/>
  </w:style>
  <w:style w:type="paragraph" w:customStyle="1" w:styleId="177">
    <w:name w:val="AncillHead"/>
    <w:basedOn w:val="125"/>
    <w:qFormat/>
    <w:uiPriority w:val="0"/>
  </w:style>
  <w:style w:type="paragraph" w:customStyle="1" w:styleId="178">
    <w:name w:val="RefHead"/>
    <w:basedOn w:val="125"/>
    <w:qFormat/>
    <w:uiPriority w:val="0"/>
  </w:style>
  <w:style w:type="paragraph" w:customStyle="1" w:styleId="179">
    <w:name w:val="FlushQuote"/>
    <w:basedOn w:val="114"/>
    <w:qFormat/>
    <w:uiPriority w:val="0"/>
    <w:pPr>
      <w:ind w:left="0" w:right="0"/>
    </w:pPr>
    <w:rPr>
      <w:sz w:val="22"/>
    </w:rPr>
  </w:style>
  <w:style w:type="paragraph" w:customStyle="1" w:styleId="180">
    <w:name w:val="ProductTitle"/>
    <w:basedOn w:val="1"/>
    <w:next w:val="140"/>
    <w:qFormat/>
    <w:uiPriority w:val="0"/>
    <w:rPr>
      <w:b/>
      <w:sz w:val="28"/>
    </w:rPr>
  </w:style>
  <w:style w:type="paragraph" w:customStyle="1" w:styleId="181">
    <w:name w:val="EthicalApproval"/>
    <w:basedOn w:val="137"/>
    <w:qFormat/>
    <w:uiPriority w:val="0"/>
  </w:style>
  <w:style w:type="paragraph" w:customStyle="1" w:styleId="182">
    <w:name w:val="Abrv-Title"/>
    <w:basedOn w:val="1"/>
    <w:autoRedefine/>
    <w:qFormat/>
    <w:uiPriority w:val="0"/>
  </w:style>
  <w:style w:type="paragraph" w:customStyle="1" w:styleId="183">
    <w:name w:val="Web logo"/>
    <w:basedOn w:val="1"/>
    <w:qFormat/>
    <w:uiPriority w:val="0"/>
  </w:style>
  <w:style w:type="character" w:customStyle="1" w:styleId="184">
    <w:name w:val="Preformatted"/>
    <w:basedOn w:val="76"/>
    <w:qFormat/>
    <w:uiPriority w:val="0"/>
  </w:style>
  <w:style w:type="paragraph" w:customStyle="1" w:styleId="185">
    <w:name w:val="Auxillary Number"/>
    <w:basedOn w:val="1"/>
    <w:autoRedefine/>
    <w:qFormat/>
    <w:uiPriority w:val="0"/>
  </w:style>
  <w:style w:type="paragraph" w:customStyle="1" w:styleId="186">
    <w:name w:val="DOI"/>
    <w:basedOn w:val="1"/>
    <w:autoRedefine/>
    <w:qFormat/>
    <w:uiPriority w:val="0"/>
  </w:style>
  <w:style w:type="paragraph" w:customStyle="1" w:styleId="187">
    <w:name w:val="Unit-ID"/>
    <w:basedOn w:val="1"/>
    <w:autoRedefine/>
    <w:qFormat/>
    <w:uiPriority w:val="0"/>
  </w:style>
  <w:style w:type="paragraph" w:customStyle="1" w:styleId="188">
    <w:name w:val="Abbreviation"/>
    <w:basedOn w:val="1"/>
    <w:qFormat/>
    <w:uiPriority w:val="0"/>
  </w:style>
  <w:style w:type="paragraph" w:customStyle="1" w:styleId="189">
    <w:name w:val="Appendix"/>
    <w:basedOn w:val="1"/>
    <w:qFormat/>
    <w:uiPriority w:val="0"/>
    <w:rPr>
      <w:b/>
    </w:rPr>
  </w:style>
  <w:style w:type="paragraph" w:customStyle="1" w:styleId="190">
    <w:name w:val="Authored by"/>
    <w:basedOn w:val="1"/>
    <w:qFormat/>
    <w:uiPriority w:val="0"/>
    <w:rPr>
      <w:b/>
      <w:sz w:val="28"/>
    </w:rPr>
  </w:style>
  <w:style w:type="paragraph" w:customStyle="1" w:styleId="191">
    <w:name w:val="BookDetails"/>
    <w:basedOn w:val="1"/>
    <w:qFormat/>
    <w:uiPriority w:val="0"/>
  </w:style>
  <w:style w:type="paragraph" w:customStyle="1" w:styleId="192">
    <w:name w:val="BoxStart"/>
    <w:basedOn w:val="1"/>
    <w:qFormat/>
    <w:uiPriority w:val="0"/>
  </w:style>
  <w:style w:type="paragraph" w:customStyle="1" w:styleId="193">
    <w:name w:val="Citation"/>
    <w:basedOn w:val="1"/>
    <w:autoRedefine/>
    <w:qFormat/>
    <w:uiPriority w:val="0"/>
  </w:style>
  <w:style w:type="paragraph" w:customStyle="1" w:styleId="194">
    <w:name w:val="Correspondent"/>
    <w:basedOn w:val="1"/>
    <w:autoRedefine/>
    <w:qFormat/>
    <w:uiPriority w:val="0"/>
  </w:style>
  <w:style w:type="paragraph" w:customStyle="1" w:styleId="195">
    <w:name w:val="EquationText"/>
    <w:basedOn w:val="1"/>
    <w:autoRedefine/>
    <w:qFormat/>
    <w:uiPriority w:val="0"/>
  </w:style>
  <w:style w:type="paragraph" w:customStyle="1" w:styleId="196">
    <w:name w:val="Footnotes"/>
    <w:basedOn w:val="1"/>
    <w:qFormat/>
    <w:uiPriority w:val="0"/>
  </w:style>
  <w:style w:type="paragraph" w:customStyle="1" w:styleId="197">
    <w:name w:val="KeyWords"/>
    <w:basedOn w:val="1"/>
    <w:autoRedefine/>
    <w:qFormat/>
    <w:uiPriority w:val="0"/>
  </w:style>
  <w:style w:type="paragraph" w:customStyle="1" w:styleId="198">
    <w:name w:val="ListParaMore"/>
    <w:basedOn w:val="1"/>
    <w:autoRedefine/>
    <w:qFormat/>
    <w:uiPriority w:val="0"/>
  </w:style>
  <w:style w:type="paragraph" w:customStyle="1" w:styleId="199">
    <w:name w:val="Onlinefirst"/>
    <w:basedOn w:val="1"/>
    <w:qFormat/>
    <w:uiPriority w:val="0"/>
  </w:style>
  <w:style w:type="paragraph" w:styleId="200">
    <w:name w:val="Quote"/>
    <w:basedOn w:val="1"/>
    <w:autoRedefine/>
    <w:qFormat/>
    <w:uiPriority w:val="0"/>
    <w:pPr>
      <w:ind w:left="737"/>
    </w:pPr>
    <w:rPr>
      <w:sz w:val="28"/>
    </w:rPr>
  </w:style>
  <w:style w:type="paragraph" w:customStyle="1" w:styleId="201">
    <w:name w:val="Received"/>
    <w:basedOn w:val="1"/>
    <w:autoRedefine/>
    <w:qFormat/>
    <w:uiPriority w:val="0"/>
  </w:style>
  <w:style w:type="paragraph" w:customStyle="1" w:styleId="202">
    <w:name w:val="Related"/>
    <w:basedOn w:val="1"/>
    <w:qFormat/>
    <w:uiPriority w:val="0"/>
    <w:rPr>
      <w:b/>
      <w:i/>
    </w:rPr>
  </w:style>
  <w:style w:type="paragraph" w:customStyle="1" w:styleId="203">
    <w:name w:val="RespTitle"/>
    <w:basedOn w:val="1"/>
    <w:autoRedefine/>
    <w:qFormat/>
    <w:uiPriority w:val="0"/>
    <w:rPr>
      <w:b/>
    </w:rPr>
  </w:style>
  <w:style w:type="paragraph" w:customStyle="1" w:styleId="204">
    <w:name w:val="ShortAuthors"/>
    <w:basedOn w:val="1"/>
    <w:autoRedefine/>
    <w:qFormat/>
    <w:uiPriority w:val="0"/>
  </w:style>
  <w:style w:type="paragraph" w:customStyle="1" w:styleId="205">
    <w:name w:val="Table Footnote"/>
    <w:basedOn w:val="1"/>
    <w:qFormat/>
    <w:uiPriority w:val="0"/>
    <w:rPr>
      <w:rFonts w:ascii="Arial" w:hAnsi="Arial"/>
      <w:sz w:val="22"/>
    </w:rPr>
  </w:style>
  <w:style w:type="paragraph" w:customStyle="1" w:styleId="206">
    <w:name w:val="Topic(s)"/>
    <w:basedOn w:val="1"/>
    <w:autoRedefine/>
    <w:qFormat/>
    <w:uiPriority w:val="0"/>
    <w:rPr>
      <w:i/>
    </w:rPr>
  </w:style>
  <w:style w:type="paragraph" w:customStyle="1" w:styleId="207">
    <w:name w:val="Revised"/>
    <w:basedOn w:val="1"/>
    <w:autoRedefine/>
    <w:qFormat/>
    <w:uiPriority w:val="0"/>
  </w:style>
  <w:style w:type="paragraph" w:customStyle="1" w:styleId="208">
    <w:name w:val="Table Width"/>
    <w:basedOn w:val="1"/>
    <w:qFormat/>
    <w:uiPriority w:val="0"/>
  </w:style>
  <w:style w:type="paragraph" w:customStyle="1" w:styleId="209">
    <w:name w:val="Table Font"/>
    <w:basedOn w:val="1"/>
    <w:qFormat/>
    <w:uiPriority w:val="0"/>
  </w:style>
  <w:style w:type="paragraph" w:customStyle="1" w:styleId="210">
    <w:name w:val="Article Title"/>
    <w:basedOn w:val="1"/>
    <w:qFormat/>
    <w:uiPriority w:val="0"/>
    <w:rPr>
      <w:rFonts w:ascii="Arial" w:hAnsi="Arial"/>
      <w:b/>
      <w:sz w:val="36"/>
    </w:rPr>
  </w:style>
  <w:style w:type="paragraph" w:customStyle="1" w:styleId="211">
    <w:name w:val="BNF Number"/>
    <w:basedOn w:val="1"/>
    <w:qFormat/>
    <w:uiPriority w:val="0"/>
    <w:rPr>
      <w:rFonts w:ascii="Arial" w:hAnsi="Arial"/>
      <w:b/>
      <w:sz w:val="22"/>
    </w:rPr>
  </w:style>
  <w:style w:type="paragraph" w:customStyle="1" w:styleId="212">
    <w:name w:val="Introduction"/>
    <w:basedOn w:val="1"/>
    <w:qFormat/>
    <w:uiPriority w:val="0"/>
    <w:rPr>
      <w:rFonts w:ascii="Arial" w:hAnsi="Arial"/>
      <w:sz w:val="22"/>
    </w:rPr>
  </w:style>
  <w:style w:type="paragraph" w:customStyle="1" w:styleId="213">
    <w:name w:val="Paragraph"/>
    <w:basedOn w:val="1"/>
    <w:qFormat/>
    <w:uiPriority w:val="0"/>
    <w:rPr>
      <w:rFonts w:ascii="Arial" w:hAnsi="Arial"/>
      <w:sz w:val="22"/>
    </w:rPr>
  </w:style>
  <w:style w:type="paragraph" w:customStyle="1" w:styleId="214">
    <w:name w:val="Table Head"/>
    <w:basedOn w:val="1"/>
    <w:qFormat/>
    <w:uiPriority w:val="0"/>
    <w:rPr>
      <w:rFonts w:ascii="Arial" w:hAnsi="Arial"/>
      <w:b/>
      <w:sz w:val="22"/>
    </w:rPr>
  </w:style>
  <w:style w:type="paragraph" w:customStyle="1" w:styleId="215">
    <w:name w:val="Table Body"/>
    <w:basedOn w:val="1"/>
    <w:qFormat/>
    <w:uiPriority w:val="0"/>
    <w:rPr>
      <w:rFonts w:ascii="Arial" w:hAnsi="Arial"/>
      <w:sz w:val="22"/>
    </w:rPr>
  </w:style>
  <w:style w:type="paragraph" w:customStyle="1" w:styleId="216">
    <w:name w:val="Figure Caption"/>
    <w:basedOn w:val="1"/>
    <w:qFormat/>
    <w:uiPriority w:val="0"/>
    <w:rPr>
      <w:rFonts w:ascii="Arial" w:hAnsi="Arial"/>
      <w:sz w:val="22"/>
    </w:rPr>
  </w:style>
  <w:style w:type="paragraph" w:customStyle="1" w:styleId="217">
    <w:name w:val="References"/>
    <w:basedOn w:val="1"/>
    <w:qFormat/>
    <w:uiPriority w:val="0"/>
    <w:rPr>
      <w:rFonts w:ascii="Arial" w:hAnsi="Arial"/>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article</Template>
  <Company>irisq</Company>
  <Pages>6</Pages>
  <Words>815</Words>
  <Characters>5114</Characters>
  <Lines>39</Lines>
  <Paragraphs>11</Paragraphs>
  <TotalTime>10</TotalTime>
  <ScaleCrop>false</ScaleCrop>
  <LinksUpToDate>false</LinksUpToDate>
  <CharactersWithSpaces>5854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2014-09-01T14:20:00Z</dcterms:created>
  <dc:creator>pplouffe</dc:creator>
  <cp:lastModifiedBy>Lucas_W</cp:lastModifiedBy>
  <cp:lastPrinted>2014-09-01T08:36:00Z</cp:lastPrinted>
  <dcterms:modified xsi:type="dcterms:W3CDTF">2026-08-14T06:29:08Z</dcterms:modified>
  <dc:title>The Impact of a Community-Oriented Problem-Based Learning Curriculum Reform on the Quality of Primary Care Delivered by Gradua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y fmtid="{D5CDD505-2E9C-101B-9397-08002B2CF9AE}" pid="7" name="KSOProductBuildVer">
    <vt:lpwstr>2052-12.1.0.28043</vt:lpwstr>
  </property>
  <property fmtid="{D5CDD505-2E9C-101B-9397-08002B2CF9AE}" pid="8" name="ICV">
    <vt:lpwstr>F218F18BF0D54897AA7CDDB0BE6783BC_13</vt:lpwstr>
  </property>
  <property fmtid="{D5CDD505-2E9C-101B-9397-08002B2CF9AE}" pid="9" name="KSOTemplateDocerSaveRecord">
    <vt:lpwstr>eyJoZGlkIjoiZDI2NGU3MWUyMzIyMmQ5MjFhYTdiMmIwYWQxMzg2OWUiLCJ1c2VySWQiOiIyODM2OTY0NDMifQ==</vt:lpwstr>
  </property>
</Properties>
</file>